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49" w:rsidRPr="00E030FF" w:rsidRDefault="000B5049" w:rsidP="000B5049">
      <w:pPr>
        <w:tabs>
          <w:tab w:val="left" w:pos="67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30FF">
        <w:rPr>
          <w:rFonts w:ascii="Times New Roman" w:eastAsia="Times New Roman" w:hAnsi="Times New Roman" w:cs="Times New Roman"/>
          <w:b/>
          <w:sz w:val="24"/>
          <w:szCs w:val="24"/>
        </w:rPr>
        <w:t>MEMORANDUM OF AGREEMENT</w:t>
      </w:r>
    </w:p>
    <w:p w:rsidR="000B5049" w:rsidRPr="00E030FF" w:rsidRDefault="000B5049" w:rsidP="000B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between</w:t>
      </w:r>
    </w:p>
    <w:p w:rsidR="000B5049" w:rsidRPr="00E030FF" w:rsidRDefault="000B5049" w:rsidP="000B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Default="003E7571" w:rsidP="000B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51345038"/>
          <w:placeholder>
            <w:docPart w:val="36EEAF5B8DF14BB2B49C0B1F430FD7D9"/>
          </w:placeholder>
          <w:showingPlcHdr/>
          <w:text/>
        </w:sdtPr>
        <w:sdtEndPr/>
        <w:sdtContent>
          <w:r w:rsidR="00902D00" w:rsidRPr="005D5074">
            <w:rPr>
              <w:rStyle w:val="PlaceholderText"/>
            </w:rPr>
            <w:t>Click here to enter text.</w:t>
          </w:r>
        </w:sdtContent>
      </w:sdt>
    </w:p>
    <w:p w:rsidR="00902D00" w:rsidRPr="00E030FF" w:rsidRDefault="00902D00" w:rsidP="000B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and the</w:t>
      </w:r>
    </w:p>
    <w:p w:rsidR="000B5049" w:rsidRPr="00E030FF" w:rsidRDefault="000B5049" w:rsidP="000B5049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Office of the State Superintendent of Education</w:t>
      </w:r>
    </w:p>
    <w:p w:rsidR="000B5049" w:rsidRPr="00E030FF" w:rsidRDefault="000B5049" w:rsidP="000B5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</w:t>
      </w:r>
      <w:r w:rsidRPr="00E030FF">
        <w:rPr>
          <w:rFonts w:ascii="Times New Roman" w:eastAsia="Times New Roman" w:hAnsi="Times New Roman" w:cs="Times New Roman"/>
          <w:b/>
          <w:sz w:val="24"/>
          <w:szCs w:val="24"/>
        </w:rPr>
        <w:t xml:space="preserve">MEMORANDUM OF AGREEMENT (MOA) 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is made and entered into by and between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21177839"/>
          <w:placeholder>
            <w:docPart w:val="62FA6C5DFBD74CCE911A4F318A0B40FD"/>
          </w:placeholder>
          <w:showingPlcHdr/>
          <w:text/>
        </w:sdtPr>
        <w:sdtEndPr/>
        <w:sdtContent>
          <w:r w:rsidR="00902D00" w:rsidRPr="005D5074">
            <w:rPr>
              <w:rStyle w:val="PlaceholderText"/>
            </w:rPr>
            <w:t>Click here to enter text.</w:t>
          </w:r>
        </w:sdtContent>
      </w:sdt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 (“Institution”) and the Office of the State Superintendent of Education (OSSE) to facilitate institutional participation in </w:t>
      </w:r>
      <w:r w:rsidR="00D470D2" w:rsidRPr="00E030FF">
        <w:rPr>
          <w:rFonts w:ascii="Times New Roman" w:eastAsia="Times New Roman" w:hAnsi="Times New Roman" w:cs="Times New Roman"/>
          <w:sz w:val="24"/>
          <w:szCs w:val="24"/>
        </w:rPr>
        <w:t>State Authorization Reciprocity Agreement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1522" w:rsidRPr="00E030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70D2" w:rsidRPr="00E030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246F4" w:rsidRPr="00E030FF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B5049" w:rsidRPr="00E030FF" w:rsidRDefault="000B5049" w:rsidP="000B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FB704D" w:rsidP="000B50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0FF">
        <w:rPr>
          <w:rFonts w:ascii="Times New Roman" w:hAnsi="Times New Roman" w:cs="Times New Roman"/>
          <w:color w:val="000000"/>
          <w:sz w:val="24"/>
          <w:szCs w:val="24"/>
        </w:rPr>
        <w:t xml:space="preserve">State Authorization Reciprocity Agreement (SARA) is a national initiative which seeks to establish comparable national standards for the interstate offering of postsecondary distance-education courses and programs. SARA is a voluntary agreement among regional compacts (SREB, NEBHE, MHEC, and WICHE) and member states. Each member state approves their in-state institutions for SARA participation. Institutional membership is voluntary and open to accredited, degree-granting institutions from all sectors of postsecondary education (proprietary, public, </w:t>
      </w:r>
      <w:r w:rsidR="00A93EAD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E030FF">
        <w:rPr>
          <w:rFonts w:ascii="Times New Roman" w:hAnsi="Times New Roman" w:cs="Times New Roman"/>
          <w:color w:val="000000"/>
          <w:sz w:val="24"/>
          <w:szCs w:val="24"/>
        </w:rPr>
        <w:t xml:space="preserve">private). Once approved, SARA member institutions may offer distance education programs in other SARA member states without additional authorization. </w:t>
      </w:r>
    </w:p>
    <w:p w:rsidR="00FB704D" w:rsidRPr="00E030FF" w:rsidRDefault="00FB704D" w:rsidP="000B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b/>
          <w:sz w:val="24"/>
          <w:szCs w:val="24"/>
        </w:rPr>
        <w:t>PURPOSE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5049" w:rsidRPr="00E030FF" w:rsidRDefault="000B5049" w:rsidP="000B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The purpose of this MOA, as authorized under </w:t>
      </w:r>
      <w:r w:rsidR="00F26C84" w:rsidRPr="00E030FF">
        <w:rPr>
          <w:rFonts w:ascii="Times New Roman" w:eastAsia="Times New Roman" w:hAnsi="Times New Roman" w:cs="Times New Roman"/>
          <w:sz w:val="24"/>
          <w:szCs w:val="24"/>
        </w:rPr>
        <w:t xml:space="preserve">the Higher Education Licensure Commission Amendment Act of 2015 (DC Law 21-74; codified at </w:t>
      </w:r>
      <w:r w:rsidR="00FB704D" w:rsidRPr="00E030FF">
        <w:rPr>
          <w:rFonts w:ascii="Times New Roman" w:hAnsi="Times New Roman" w:cs="Times New Roman"/>
          <w:sz w:val="24"/>
          <w:szCs w:val="24"/>
        </w:rPr>
        <w:t>§ 38-1307 (5</w:t>
      </w:r>
      <w:r w:rsidR="00FB704D" w:rsidRPr="00E030FF">
        <w:rPr>
          <w:rFonts w:ascii="Times New Roman" w:hAnsi="Times New Roman" w:cs="Times New Roman"/>
          <w:color w:val="000000"/>
          <w:sz w:val="24"/>
          <w:szCs w:val="24"/>
        </w:rPr>
        <w:t>))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, is to:</w:t>
      </w:r>
    </w:p>
    <w:p w:rsidR="000B5049" w:rsidRPr="00E030FF" w:rsidRDefault="000B5049" w:rsidP="000B5049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(1)  Ensure consistent consumer protection in interstate distance delivery of higher education;</w:t>
      </w:r>
    </w:p>
    <w:p w:rsidR="000B5049" w:rsidRPr="00E030FF" w:rsidRDefault="000B5049" w:rsidP="000B5049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(2)  Provide a process to review and appropriately act on complaints concerning the Institution, including enforcement of applicable state laws; and </w:t>
      </w:r>
    </w:p>
    <w:p w:rsidR="000B5049" w:rsidRPr="00E030FF" w:rsidRDefault="000B5049" w:rsidP="000B5049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(3)  Identify the roles and responsibilities of the Institution and </w:t>
      </w:r>
      <w:r w:rsidR="0029332E" w:rsidRPr="00E030FF">
        <w:rPr>
          <w:rFonts w:ascii="Times New Roman" w:eastAsia="Times New Roman" w:hAnsi="Times New Roman" w:cs="Times New Roman"/>
          <w:sz w:val="24"/>
          <w:szCs w:val="24"/>
        </w:rPr>
        <w:t>OSSE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5049" w:rsidRPr="00E030FF" w:rsidRDefault="000B5049" w:rsidP="000B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b/>
          <w:sz w:val="24"/>
          <w:szCs w:val="24"/>
        </w:rPr>
        <w:t>Institution will:</w:t>
      </w:r>
    </w:p>
    <w:p w:rsidR="000B5049" w:rsidRPr="00E030FF" w:rsidRDefault="00A93EAD" w:rsidP="000B504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onsent to such provisions as may be necessary for purposes of participation in SARA (see DCMR  8301.7)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hough otherwise </w:t>
      </w:r>
      <w:r w:rsidR="00924F7B" w:rsidRPr="00E030FF">
        <w:rPr>
          <w:rFonts w:ascii="Times New Roman" w:eastAsia="Times New Roman" w:hAnsi="Times New Roman" w:cs="Times New Roman"/>
          <w:sz w:val="24"/>
          <w:szCs w:val="24"/>
        </w:rPr>
        <w:t xml:space="preserve">conditionally 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>exempt from state laws governing degree-granting institutions</w:t>
      </w:r>
      <w:r w:rsidR="00924F7B" w:rsidRPr="00E030FF">
        <w:rPr>
          <w:rFonts w:ascii="Times New Roman" w:eastAsia="Times New Roman" w:hAnsi="Times New Roman" w:cs="Times New Roman"/>
          <w:sz w:val="24"/>
          <w:szCs w:val="24"/>
        </w:rPr>
        <w:t xml:space="preserve"> pursuant to DC Official Code </w:t>
      </w:r>
      <w:r w:rsidR="00924F7B" w:rsidRPr="00E030FF">
        <w:rPr>
          <w:rFonts w:ascii="Times New Roman" w:hAnsi="Times New Roman" w:cs="Times New Roman"/>
          <w:color w:val="000000"/>
          <w:sz w:val="24"/>
          <w:szCs w:val="24"/>
        </w:rPr>
        <w:t>§38-1310 (b) thru</w:t>
      </w:r>
      <w:r w:rsidR="00902D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F7B" w:rsidRPr="00E030FF">
        <w:rPr>
          <w:rFonts w:ascii="Times New Roman" w:hAnsi="Times New Roman" w:cs="Times New Roman"/>
          <w:color w:val="000000"/>
          <w:sz w:val="24"/>
          <w:szCs w:val="24"/>
        </w:rPr>
        <w:t>(e)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78C5" w:rsidRPr="00E030FF" w:rsidRDefault="00FB78C5" w:rsidP="00FB78C5">
      <w:pPr>
        <w:pStyle w:val="ListParagraph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30FF" w:rsidRPr="00E030FF" w:rsidRDefault="000B5049" w:rsidP="00FB78C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Adhere to the</w:t>
      </w:r>
      <w:r w:rsidR="00C82D4F" w:rsidRPr="00E03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0FF" w:rsidRPr="00E030FF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C82D4F" w:rsidRPr="00E030FF">
        <w:rPr>
          <w:rFonts w:ascii="Times New Roman" w:eastAsia="Times New Roman" w:hAnsi="Times New Roman" w:cs="Times New Roman"/>
          <w:sz w:val="24"/>
          <w:szCs w:val="24"/>
        </w:rPr>
        <w:t>SARA Policies</w:t>
      </w:r>
      <w:r w:rsidR="00FB78C5" w:rsidRPr="00E03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0FF" w:rsidRPr="00E030FF">
        <w:rPr>
          <w:rFonts w:ascii="Times New Roman" w:eastAsia="Times New Roman" w:hAnsi="Times New Roman" w:cs="Times New Roman"/>
          <w:sz w:val="24"/>
          <w:szCs w:val="24"/>
        </w:rPr>
        <w:t>and Procedures;</w:t>
      </w:r>
    </w:p>
    <w:p w:rsidR="00E030FF" w:rsidRPr="00E030FF" w:rsidRDefault="00E030FF" w:rsidP="00E030FF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FB78C5" w:rsidRPr="00E030FF" w:rsidRDefault="00A93EAD" w:rsidP="00FB78C5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030FF" w:rsidRPr="00E030FF">
        <w:rPr>
          <w:rFonts w:ascii="Times New Roman" w:eastAsia="Times New Roman" w:hAnsi="Times New Roman" w:cs="Times New Roman"/>
          <w:sz w:val="24"/>
          <w:szCs w:val="24"/>
        </w:rPr>
        <w:t>ro</w:t>
      </w:r>
      <w:r w:rsidR="00FB78C5" w:rsidRPr="00E030FF">
        <w:rPr>
          <w:rFonts w:ascii="Times New Roman" w:eastAsia="Times New Roman" w:hAnsi="Times New Roman" w:cs="Times New Roman"/>
          <w:sz w:val="24"/>
          <w:szCs w:val="24"/>
        </w:rPr>
        <w:t>vide assistance as necessary to resolve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 complaints pertaining to the Institution’s distance education courses and programs</w:t>
      </w:r>
      <w:r w:rsidR="00FB78C5" w:rsidRPr="00E030FF">
        <w:rPr>
          <w:rFonts w:ascii="Times New Roman" w:eastAsia="Times New Roman" w:hAnsi="Times New Roman" w:cs="Times New Roman"/>
          <w:sz w:val="24"/>
          <w:szCs w:val="24"/>
        </w:rPr>
        <w:t xml:space="preserve"> in accordance with the HELC Complaint Process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E030FF" w:rsidRPr="00E030FF" w:rsidRDefault="00E030FF" w:rsidP="00E030FF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6877B1" w:rsidP="000B5049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Pay the </w:t>
      </w:r>
      <w:r w:rsidR="00C82D4F" w:rsidRPr="00E030FF">
        <w:rPr>
          <w:rFonts w:ascii="Times New Roman" w:eastAsia="Times New Roman" w:hAnsi="Times New Roman" w:cs="Times New Roman"/>
          <w:sz w:val="24"/>
          <w:szCs w:val="24"/>
        </w:rPr>
        <w:t xml:space="preserve">annual DC Portal Agency Fee </w:t>
      </w:r>
      <w:r w:rsidRPr="00E030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based on </w:t>
      </w:r>
      <w:r w:rsidR="00C82D4F" w:rsidRPr="00E030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>the</w:t>
      </w:r>
      <w:r w:rsidRPr="00E030FF">
        <w:rPr>
          <w:rFonts w:ascii="Times New Roman" w:eastAsia="Times New Roman" w:hAnsi="Times New Roman" w:cs="Times New Roman"/>
          <w:color w:val="000000"/>
          <w:sz w:val="24"/>
          <w:szCs w:val="24"/>
          <w:lang w:val="en"/>
        </w:rPr>
        <w:t xml:space="preserve"> institution’s most recent total full-time equivalent (FTE) enrollment as shown in the Integrated Postsecondary Education Data System (IPEDS) 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per fiscal year to </w:t>
      </w:r>
      <w:r w:rsidR="00924F7B" w:rsidRPr="00E030F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HELC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 to offset the costs of administering this agreement, state participation in </w:t>
      </w:r>
      <w:r w:rsidR="003A4931" w:rsidRPr="00E030F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3A4931" w:rsidRPr="00E030FF">
        <w:rPr>
          <w:rFonts w:ascii="Times New Roman" w:eastAsia="Times New Roman" w:hAnsi="Times New Roman" w:cs="Times New Roman"/>
          <w:sz w:val="24"/>
          <w:szCs w:val="24"/>
        </w:rPr>
        <w:t>RA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>, and the student complaint process.</w:t>
      </w:r>
      <w:r w:rsidR="00E030FF" w:rsidRPr="00E030FF">
        <w:rPr>
          <w:rFonts w:ascii="Times New Roman" w:eastAsia="Times New Roman" w:hAnsi="Times New Roman" w:cs="Times New Roman"/>
          <w:sz w:val="24"/>
          <w:szCs w:val="24"/>
        </w:rPr>
        <w:t xml:space="preserve"> Payments shall be made payable to the DC Treasurer.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2880"/>
        <w:gridCol w:w="2070"/>
      </w:tblGrid>
      <w:tr w:rsidR="006877B1" w:rsidRPr="00E030FF" w:rsidTr="00373ACD">
        <w:tc>
          <w:tcPr>
            <w:tcW w:w="2880" w:type="dxa"/>
          </w:tcPr>
          <w:p w:rsidR="006877B1" w:rsidRPr="00E030FF" w:rsidRDefault="006877B1" w:rsidP="0068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3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FTE Students </w:t>
            </w:r>
          </w:p>
        </w:tc>
        <w:tc>
          <w:tcPr>
            <w:tcW w:w="2070" w:type="dxa"/>
          </w:tcPr>
          <w:p w:rsidR="006877B1" w:rsidRPr="00E030FF" w:rsidRDefault="00373ACD" w:rsidP="006877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r w:rsidR="00DB3F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Y2</w:t>
            </w:r>
            <w:r w:rsidR="00EF20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82D4F" w:rsidRPr="00E03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DC </w:t>
            </w:r>
            <w:r w:rsidR="006877B1" w:rsidRPr="00E030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Fee*</w:t>
            </w:r>
          </w:p>
        </w:tc>
      </w:tr>
      <w:tr w:rsidR="006877B1" w:rsidRPr="00E030FF" w:rsidTr="00373ACD">
        <w:tc>
          <w:tcPr>
            <w:tcW w:w="2880" w:type="dxa"/>
          </w:tcPr>
          <w:p w:rsidR="006877B1" w:rsidRPr="00E030FF" w:rsidRDefault="006877B1" w:rsidP="0068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Fewer than 2,500</w:t>
            </w:r>
          </w:p>
        </w:tc>
        <w:tc>
          <w:tcPr>
            <w:tcW w:w="2070" w:type="dxa"/>
          </w:tcPr>
          <w:p w:rsidR="006877B1" w:rsidRPr="00E030FF" w:rsidRDefault="006877B1" w:rsidP="0068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$3,000</w:t>
            </w:r>
          </w:p>
        </w:tc>
      </w:tr>
      <w:tr w:rsidR="006877B1" w:rsidRPr="00E030FF" w:rsidTr="00373ACD">
        <w:tc>
          <w:tcPr>
            <w:tcW w:w="2880" w:type="dxa"/>
          </w:tcPr>
          <w:p w:rsidR="006877B1" w:rsidRPr="00E030FF" w:rsidRDefault="006877B1" w:rsidP="0068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2,500 – 9,999</w:t>
            </w:r>
          </w:p>
        </w:tc>
        <w:tc>
          <w:tcPr>
            <w:tcW w:w="2070" w:type="dxa"/>
          </w:tcPr>
          <w:p w:rsidR="006877B1" w:rsidRPr="00E030FF" w:rsidRDefault="006877B1" w:rsidP="0068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$6,000</w:t>
            </w:r>
          </w:p>
        </w:tc>
      </w:tr>
      <w:tr w:rsidR="006877B1" w:rsidRPr="00E030FF" w:rsidTr="00373ACD">
        <w:tc>
          <w:tcPr>
            <w:tcW w:w="2880" w:type="dxa"/>
          </w:tcPr>
          <w:p w:rsidR="006877B1" w:rsidRPr="00E030FF" w:rsidRDefault="006877B1" w:rsidP="0068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10,000 or more</w:t>
            </w:r>
          </w:p>
        </w:tc>
        <w:tc>
          <w:tcPr>
            <w:tcW w:w="2070" w:type="dxa"/>
          </w:tcPr>
          <w:p w:rsidR="006877B1" w:rsidRPr="00E030FF" w:rsidRDefault="006877B1" w:rsidP="006877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$9,000</w:t>
            </w:r>
          </w:p>
        </w:tc>
      </w:tr>
    </w:tbl>
    <w:p w:rsidR="000B5049" w:rsidRPr="00E030FF" w:rsidRDefault="006877B1" w:rsidP="004F4A69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*SARA fees will be determined annually.</w:t>
      </w:r>
    </w:p>
    <w:p w:rsidR="000B5049" w:rsidRPr="00E030FF" w:rsidRDefault="00213029" w:rsidP="000B50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b/>
          <w:sz w:val="24"/>
          <w:szCs w:val="24"/>
        </w:rPr>
        <w:t>OSSE</w:t>
      </w:r>
      <w:r w:rsidR="000B5049" w:rsidRPr="00E030FF">
        <w:rPr>
          <w:rFonts w:ascii="Times New Roman" w:eastAsia="Times New Roman" w:hAnsi="Times New Roman" w:cs="Times New Roman"/>
          <w:b/>
          <w:sz w:val="24"/>
          <w:szCs w:val="24"/>
        </w:rPr>
        <w:t xml:space="preserve"> will: </w:t>
      </w:r>
    </w:p>
    <w:p w:rsidR="000B5049" w:rsidRPr="00E030FF" w:rsidRDefault="00E030FF" w:rsidP="000B5049">
      <w:pPr>
        <w:pStyle w:val="ListParagraph"/>
        <w:numPr>
          <w:ilvl w:val="0"/>
          <w:numId w:val="2"/>
        </w:numPr>
        <w:tabs>
          <w:tab w:val="left" w:pos="0"/>
          <w:tab w:val="left" w:pos="3888"/>
          <w:tab w:val="left" w:pos="9216"/>
          <w:tab w:val="left" w:pos="936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Make reasonable efforts to p</w:t>
      </w:r>
      <w:r w:rsidR="004F4A69" w:rsidRPr="00E030FF">
        <w:rPr>
          <w:rFonts w:ascii="Times New Roman" w:eastAsia="Times New Roman" w:hAnsi="Times New Roman" w:cs="Times New Roman"/>
          <w:sz w:val="24"/>
          <w:szCs w:val="24"/>
        </w:rPr>
        <w:t xml:space="preserve">erform 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4F4A69" w:rsidRPr="00E030FF">
        <w:rPr>
          <w:rFonts w:ascii="Times New Roman" w:eastAsia="Times New Roman" w:hAnsi="Times New Roman" w:cs="Times New Roman"/>
          <w:sz w:val="24"/>
          <w:szCs w:val="24"/>
        </w:rPr>
        <w:t>duties, responsibilities and actions ne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cessary to enter into and maintain participation in </w:t>
      </w:r>
      <w:r w:rsidR="00213029" w:rsidRPr="00E030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77B1" w:rsidRPr="00E030FF">
        <w:rPr>
          <w:rFonts w:ascii="Times New Roman" w:eastAsia="Times New Roman" w:hAnsi="Times New Roman" w:cs="Times New Roman"/>
          <w:sz w:val="24"/>
          <w:szCs w:val="24"/>
        </w:rPr>
        <w:t>AR</w:t>
      </w:r>
      <w:r w:rsidR="00213029" w:rsidRPr="00E030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, to include serving as the </w:t>
      </w:r>
      <w:r w:rsidR="006877B1" w:rsidRPr="00E030FF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 portal agency responsible for contact with </w:t>
      </w:r>
      <w:r w:rsidR="004F4A69" w:rsidRPr="00E030FF">
        <w:rPr>
          <w:rFonts w:ascii="Times New Roman" w:eastAsia="Times New Roman" w:hAnsi="Times New Roman" w:cs="Times New Roman"/>
          <w:sz w:val="24"/>
          <w:szCs w:val="24"/>
        </w:rPr>
        <w:t>NC-</w:t>
      </w:r>
      <w:r w:rsidR="00213029" w:rsidRPr="00E030F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877B1" w:rsidRPr="00E030F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13029" w:rsidRPr="00E030FF">
        <w:rPr>
          <w:rFonts w:ascii="Times New Roman" w:eastAsia="Times New Roman" w:hAnsi="Times New Roman" w:cs="Times New Roman"/>
          <w:sz w:val="24"/>
          <w:szCs w:val="24"/>
        </w:rPr>
        <w:t>RA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4A69" w:rsidRPr="00E030FF">
        <w:rPr>
          <w:rFonts w:ascii="Times New Roman" w:eastAsia="Times New Roman" w:hAnsi="Times New Roman" w:cs="Times New Roman"/>
          <w:sz w:val="24"/>
          <w:szCs w:val="24"/>
        </w:rPr>
        <w:t xml:space="preserve">SREB, 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>other states, and students</w:t>
      </w:r>
      <w:r w:rsidR="004F4A69" w:rsidRPr="00E030FF">
        <w:rPr>
          <w:rFonts w:ascii="Times New Roman" w:eastAsia="Times New Roman" w:hAnsi="Times New Roman" w:cs="Times New Roman"/>
          <w:sz w:val="24"/>
          <w:szCs w:val="24"/>
        </w:rPr>
        <w:t xml:space="preserve"> in accordance with SARA policies</w:t>
      </w:r>
      <w:r w:rsidR="000B5049" w:rsidRPr="00E030FF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:rsidR="00E030FF" w:rsidRPr="00E030FF" w:rsidRDefault="00E030FF" w:rsidP="00E030FF">
      <w:pPr>
        <w:tabs>
          <w:tab w:val="left" w:pos="0"/>
          <w:tab w:val="left" w:pos="3888"/>
          <w:tab w:val="left" w:pos="9216"/>
          <w:tab w:val="left" w:pos="9360"/>
        </w:tabs>
        <w:suppressAutoHyphens/>
        <w:spacing w:before="120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pStyle w:val="ListParagraph"/>
        <w:numPr>
          <w:ilvl w:val="0"/>
          <w:numId w:val="2"/>
        </w:numPr>
        <w:tabs>
          <w:tab w:val="left" w:pos="0"/>
          <w:tab w:val="left" w:pos="3888"/>
          <w:tab w:val="left" w:pos="9216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Fairly and expeditiously review, investigate, and resolve complaints according to the </w:t>
      </w:r>
      <w:r w:rsidR="004F4A69" w:rsidRPr="00E030FF">
        <w:rPr>
          <w:rFonts w:ascii="Times New Roman" w:eastAsia="Times New Roman" w:hAnsi="Times New Roman" w:cs="Times New Roman"/>
          <w:sz w:val="24"/>
          <w:szCs w:val="24"/>
        </w:rPr>
        <w:t>HELC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4A69" w:rsidRPr="00E030FF">
        <w:rPr>
          <w:rFonts w:ascii="Times New Roman" w:eastAsia="Times New Roman" w:hAnsi="Times New Roman" w:cs="Times New Roman"/>
          <w:sz w:val="24"/>
          <w:szCs w:val="24"/>
        </w:rPr>
        <w:t xml:space="preserve">SARA 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Complaint Process.</w:t>
      </w:r>
    </w:p>
    <w:p w:rsidR="000B5049" w:rsidRPr="00E030FF" w:rsidRDefault="000B5049" w:rsidP="000B5049">
      <w:pPr>
        <w:tabs>
          <w:tab w:val="left" w:pos="0"/>
          <w:tab w:val="left" w:pos="3888"/>
          <w:tab w:val="left" w:pos="9216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tabs>
          <w:tab w:val="left" w:pos="0"/>
          <w:tab w:val="left" w:pos="3888"/>
          <w:tab w:val="left" w:pos="9216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This agreement shall be in effect for a period of </w:t>
      </w:r>
      <w:r w:rsidR="00FB704D" w:rsidRPr="00E030FF">
        <w:rPr>
          <w:rFonts w:ascii="Times New Roman" w:eastAsia="Times New Roman" w:hAnsi="Times New Roman" w:cs="Times New Roman"/>
          <w:sz w:val="24"/>
          <w:szCs w:val="24"/>
        </w:rPr>
        <w:t>one (1)</w:t>
      </w:r>
      <w:r w:rsidRPr="00E030F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year from the date of execution, unless earlier terminated or amended by subsequent agreement of the parties.</w:t>
      </w:r>
      <w:r w:rsidR="006877B1" w:rsidRPr="00E030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877B1" w:rsidRPr="00E030FF" w:rsidRDefault="006877B1" w:rsidP="000B5049">
      <w:pPr>
        <w:tabs>
          <w:tab w:val="left" w:pos="0"/>
          <w:tab w:val="left" w:pos="3888"/>
          <w:tab w:val="left" w:pos="9216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tabs>
          <w:tab w:val="left" w:pos="0"/>
          <w:tab w:val="left" w:pos="3888"/>
          <w:tab w:val="left" w:pos="9216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b/>
          <w:sz w:val="24"/>
          <w:szCs w:val="24"/>
        </w:rPr>
        <w:t>IN WITNESS WHEREOF, the parties have executed this Memorandum of Agreement.</w:t>
      </w:r>
    </w:p>
    <w:p w:rsidR="000B5049" w:rsidRPr="00E030FF" w:rsidRDefault="000B5049" w:rsidP="000B5049">
      <w:pPr>
        <w:tabs>
          <w:tab w:val="left" w:pos="0"/>
          <w:tab w:val="left" w:pos="3888"/>
          <w:tab w:val="left" w:pos="9216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049" w:rsidRPr="00E030FF" w:rsidRDefault="000B5049" w:rsidP="000B5049">
      <w:pPr>
        <w:tabs>
          <w:tab w:val="left" w:pos="0"/>
          <w:tab w:val="left" w:pos="3888"/>
          <w:tab w:val="left" w:pos="9216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5049" w:rsidRPr="00E030FF" w:rsidRDefault="000B5049" w:rsidP="000B5049">
      <w:pPr>
        <w:tabs>
          <w:tab w:val="left" w:pos="0"/>
          <w:tab w:val="left" w:pos="3888"/>
          <w:tab w:val="left" w:pos="9216"/>
          <w:tab w:val="left" w:pos="93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(signature)________________________________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="00902D00" w:rsidRPr="00902D0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15181039"/>
          <w:placeholder>
            <w:docPart w:val="1F4DBF4437BA41BBBB395A25C6D26E23"/>
          </w:placeholder>
          <w:showingPlcHdr/>
          <w:text/>
        </w:sdtPr>
        <w:sdtEndPr/>
        <w:sdtContent>
          <w:r w:rsidR="00DE14D2" w:rsidRPr="00D31525">
            <w:rPr>
              <w:rStyle w:val="PlaceholderText"/>
            </w:rPr>
            <w:t>Click here to enter text.</w:t>
          </w:r>
        </w:sdtContent>
      </w:sdt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Title:</w:t>
      </w:r>
      <w:r w:rsidR="00902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12222310"/>
          <w:placeholder>
            <w:docPart w:val="5D48A69083CF477B8CF3416F8109C697"/>
          </w:placeholder>
          <w:showingPlcHdr/>
          <w:text/>
        </w:sdtPr>
        <w:sdtEndPr/>
        <w:sdtContent>
          <w:r w:rsidR="00902D00" w:rsidRPr="005D5074">
            <w:rPr>
              <w:rStyle w:val="PlaceholderText"/>
            </w:rPr>
            <w:t>Click here to enter text.</w:t>
          </w:r>
        </w:sdtContent>
      </w:sdt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 xml:space="preserve">Institution: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04509676"/>
          <w:placeholder>
            <w:docPart w:val="28B0BF35315A4856B6BB88281E5794A5"/>
          </w:placeholder>
          <w:showingPlcHdr/>
          <w:text/>
        </w:sdtPr>
        <w:sdtEndPr/>
        <w:sdtContent>
          <w:r w:rsidR="00902D00" w:rsidRPr="005D5074">
            <w:rPr>
              <w:rStyle w:val="PlaceholderText"/>
            </w:rPr>
            <w:t>Click here to enter text.</w:t>
          </w:r>
        </w:sdtContent>
      </w:sdt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(signature)________________________________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="00902D00">
        <w:rPr>
          <w:rFonts w:ascii="Times New Roman" w:eastAsia="Times New Roman" w:hAnsi="Times New Roman" w:cs="Times New Roman"/>
          <w:sz w:val="24"/>
          <w:szCs w:val="24"/>
        </w:rPr>
        <w:t xml:space="preserve">Angela </w:t>
      </w:r>
      <w:r w:rsidR="007F3C50"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 w:rsidR="00902D00">
        <w:rPr>
          <w:rFonts w:ascii="Times New Roman" w:eastAsia="Times New Roman" w:hAnsi="Times New Roman" w:cs="Times New Roman"/>
          <w:sz w:val="24"/>
          <w:szCs w:val="24"/>
        </w:rPr>
        <w:t>Lee</w:t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ab/>
      </w:r>
      <w:r w:rsidR="00902D00">
        <w:rPr>
          <w:rFonts w:ascii="Times New Roman" w:eastAsia="Times New Roman" w:hAnsi="Times New Roman" w:cs="Times New Roman"/>
          <w:sz w:val="24"/>
          <w:szCs w:val="24"/>
        </w:rPr>
        <w:tab/>
      </w:r>
      <w:r w:rsidR="00902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030FF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902D00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Title:</w:t>
      </w:r>
      <w:r w:rsidR="00A93E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D00">
        <w:rPr>
          <w:rFonts w:ascii="Times New Roman" w:eastAsia="Times New Roman" w:hAnsi="Times New Roman" w:cs="Times New Roman"/>
          <w:sz w:val="24"/>
          <w:szCs w:val="24"/>
        </w:rPr>
        <w:t xml:space="preserve">Executive Director </w:t>
      </w:r>
    </w:p>
    <w:p w:rsidR="000B5049" w:rsidRPr="00E030FF" w:rsidRDefault="00902D00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Higher Education Licensure Commission</w:t>
      </w:r>
    </w:p>
    <w:p w:rsidR="000B5049" w:rsidRPr="00E030FF" w:rsidRDefault="002B537F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E030FF">
        <w:rPr>
          <w:rFonts w:ascii="Times New Roman" w:eastAsia="Times New Roman" w:hAnsi="Times New Roman" w:cs="Times New Roman"/>
          <w:sz w:val="24"/>
          <w:szCs w:val="24"/>
        </w:rPr>
        <w:t>Office of the State Superintendent of Education</w:t>
      </w:r>
    </w:p>
    <w:p w:rsidR="000B5049" w:rsidRPr="00E030FF" w:rsidRDefault="000B5049" w:rsidP="000B5049">
      <w:pPr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0B5049" w:rsidRPr="00E030FF" w:rsidRDefault="000B5049" w:rsidP="000B5049">
      <w:pPr>
        <w:rPr>
          <w:rFonts w:ascii="Times New Roman" w:hAnsi="Times New Roman" w:cs="Times New Roman"/>
          <w:sz w:val="24"/>
          <w:szCs w:val="24"/>
        </w:rPr>
      </w:pPr>
    </w:p>
    <w:p w:rsidR="00C95555" w:rsidRPr="00E030FF" w:rsidRDefault="00C95555">
      <w:pPr>
        <w:rPr>
          <w:rFonts w:ascii="Times New Roman" w:hAnsi="Times New Roman" w:cs="Times New Roman"/>
          <w:sz w:val="24"/>
          <w:szCs w:val="24"/>
        </w:rPr>
      </w:pPr>
    </w:p>
    <w:sectPr w:rsidR="00C95555" w:rsidRPr="00E030F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571" w:rsidRDefault="003E7571" w:rsidP="002B537F">
      <w:pPr>
        <w:spacing w:after="0" w:line="240" w:lineRule="auto"/>
      </w:pPr>
      <w:r>
        <w:separator/>
      </w:r>
    </w:p>
  </w:endnote>
  <w:endnote w:type="continuationSeparator" w:id="0">
    <w:p w:rsidR="003E7571" w:rsidRDefault="003E7571" w:rsidP="002B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6686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02D00" w:rsidRDefault="00902D00" w:rsidP="00902D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A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5A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537F" w:rsidRDefault="002B5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571" w:rsidRDefault="003E7571" w:rsidP="002B537F">
      <w:pPr>
        <w:spacing w:after="0" w:line="240" w:lineRule="auto"/>
      </w:pPr>
      <w:r>
        <w:separator/>
      </w:r>
    </w:p>
  </w:footnote>
  <w:footnote w:type="continuationSeparator" w:id="0">
    <w:p w:rsidR="003E7571" w:rsidRDefault="003E7571" w:rsidP="002B5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422C"/>
    <w:multiLevelType w:val="hybridMultilevel"/>
    <w:tmpl w:val="AF387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952D9"/>
    <w:multiLevelType w:val="hybridMultilevel"/>
    <w:tmpl w:val="25BCF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TOxZPKO2pk4i4W4k0XiJ7Qj1xJXo8/S+yk/li09AyHLGaNkMW+TTpjgan5Pf/1TAN/W58dekwalN5a5/0F14g==" w:salt="+cJK2TQPoCsB18B9gReP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49"/>
    <w:rsid w:val="000B5049"/>
    <w:rsid w:val="000E0FB3"/>
    <w:rsid w:val="000E5A33"/>
    <w:rsid w:val="001A2E0C"/>
    <w:rsid w:val="001D0A1C"/>
    <w:rsid w:val="00213029"/>
    <w:rsid w:val="0029332E"/>
    <w:rsid w:val="002B537F"/>
    <w:rsid w:val="00373ACD"/>
    <w:rsid w:val="003A4931"/>
    <w:rsid w:val="003E7571"/>
    <w:rsid w:val="004B4822"/>
    <w:rsid w:val="004F4A69"/>
    <w:rsid w:val="006877B1"/>
    <w:rsid w:val="007F3C50"/>
    <w:rsid w:val="00902D00"/>
    <w:rsid w:val="009246F4"/>
    <w:rsid w:val="00924F7B"/>
    <w:rsid w:val="00A51522"/>
    <w:rsid w:val="00A93EAD"/>
    <w:rsid w:val="00B56C38"/>
    <w:rsid w:val="00C82D4F"/>
    <w:rsid w:val="00C95555"/>
    <w:rsid w:val="00D470D2"/>
    <w:rsid w:val="00DB3F3E"/>
    <w:rsid w:val="00DE14D2"/>
    <w:rsid w:val="00E030FF"/>
    <w:rsid w:val="00EF2040"/>
    <w:rsid w:val="00F26C84"/>
    <w:rsid w:val="00FB704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43539F-E53F-4AEC-879A-1DAB2381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49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B4822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822"/>
    <w:rPr>
      <w:rFonts w:eastAsiaTheme="majorEastAsia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5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49"/>
    <w:rPr>
      <w:rFonts w:asciiTheme="minorHAnsi" w:eastAsiaTheme="minorEastAsia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0B504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5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7F"/>
    <w:rPr>
      <w:rFonts w:asciiTheme="minorHAnsi" w:eastAsiaTheme="minorEastAsia" w:hAnsiTheme="minorHAnsi"/>
      <w:sz w:val="22"/>
      <w:szCs w:val="22"/>
    </w:rPr>
  </w:style>
  <w:style w:type="table" w:styleId="TableGrid">
    <w:name w:val="Table Grid"/>
    <w:basedOn w:val="TableNormal"/>
    <w:uiPriority w:val="59"/>
    <w:rsid w:val="006877B1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2D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FA6C5DFBD74CCE911A4F318A0B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DB39C-BE28-4370-8D70-4B1D0EA69BE9}"/>
      </w:docPartPr>
      <w:docPartBody>
        <w:p w:rsidR="001C3A3F" w:rsidRDefault="001B2462" w:rsidP="001B2462">
          <w:pPr>
            <w:pStyle w:val="62FA6C5DFBD74CCE911A4F318A0B40FD"/>
          </w:pPr>
          <w:r w:rsidRPr="00D31525">
            <w:rPr>
              <w:rStyle w:val="PlaceholderText"/>
            </w:rPr>
            <w:t>Click here to enter text.</w:t>
          </w:r>
        </w:p>
      </w:docPartBody>
    </w:docPart>
    <w:docPart>
      <w:docPartPr>
        <w:name w:val="36EEAF5B8DF14BB2B49C0B1F430F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C2BEA-AD6E-469F-8C8A-7479E708FB60}"/>
      </w:docPartPr>
      <w:docPartBody>
        <w:p w:rsidR="001C3A3F" w:rsidRDefault="001B2462" w:rsidP="001B2462">
          <w:pPr>
            <w:pStyle w:val="36EEAF5B8DF14BB2B49C0B1F430FD7D9"/>
          </w:pPr>
          <w:r w:rsidRPr="00D31525">
            <w:rPr>
              <w:rStyle w:val="PlaceholderText"/>
            </w:rPr>
            <w:t>Click here to enter text.</w:t>
          </w:r>
        </w:p>
      </w:docPartBody>
    </w:docPart>
    <w:docPart>
      <w:docPartPr>
        <w:name w:val="1F4DBF4437BA41BBBB395A25C6D26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4721-CCF0-4ADB-9AAE-9F4BC743C8EE}"/>
      </w:docPartPr>
      <w:docPartBody>
        <w:p w:rsidR="001C3A3F" w:rsidRDefault="001B2462" w:rsidP="001B2462">
          <w:pPr>
            <w:pStyle w:val="1F4DBF4437BA41BBBB395A25C6D26E23"/>
          </w:pPr>
          <w:r w:rsidRPr="00D31525">
            <w:rPr>
              <w:rStyle w:val="PlaceholderText"/>
            </w:rPr>
            <w:t>Click here to enter text.</w:t>
          </w:r>
        </w:p>
      </w:docPartBody>
    </w:docPart>
    <w:docPart>
      <w:docPartPr>
        <w:name w:val="5D48A69083CF477B8CF3416F8109C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2CBD-7C3F-40EC-A4F2-F6E9052F1CC6}"/>
      </w:docPartPr>
      <w:docPartBody>
        <w:p w:rsidR="001C3A3F" w:rsidRDefault="001B2462" w:rsidP="001B2462">
          <w:pPr>
            <w:pStyle w:val="5D48A69083CF477B8CF3416F8109C697"/>
          </w:pPr>
          <w:r w:rsidRPr="00D31525">
            <w:rPr>
              <w:rStyle w:val="PlaceholderText"/>
            </w:rPr>
            <w:t>Click here to enter text.</w:t>
          </w:r>
        </w:p>
      </w:docPartBody>
    </w:docPart>
    <w:docPart>
      <w:docPartPr>
        <w:name w:val="28B0BF35315A4856B6BB88281E57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666E1-7763-4FC2-9B7C-F5CC05EBB1A2}"/>
      </w:docPartPr>
      <w:docPartBody>
        <w:p w:rsidR="001C3A3F" w:rsidRDefault="001B2462" w:rsidP="001B2462">
          <w:pPr>
            <w:pStyle w:val="28B0BF35315A4856B6BB88281E5794A5"/>
          </w:pPr>
          <w:r w:rsidRPr="00D315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62"/>
    <w:rsid w:val="001B2462"/>
    <w:rsid w:val="001C3A3F"/>
    <w:rsid w:val="001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2462"/>
    <w:rPr>
      <w:color w:val="808080"/>
    </w:rPr>
  </w:style>
  <w:style w:type="paragraph" w:customStyle="1" w:styleId="62FA6C5DFBD74CCE911A4F318A0B40FD">
    <w:name w:val="62FA6C5DFBD74CCE911A4F318A0B40FD"/>
    <w:rsid w:val="001B2462"/>
  </w:style>
  <w:style w:type="paragraph" w:customStyle="1" w:styleId="36EEAF5B8DF14BB2B49C0B1F430FD7D9">
    <w:name w:val="36EEAF5B8DF14BB2B49C0B1F430FD7D9"/>
    <w:rsid w:val="001B2462"/>
  </w:style>
  <w:style w:type="paragraph" w:customStyle="1" w:styleId="1F4DBF4437BA41BBBB395A25C6D26E23">
    <w:name w:val="1F4DBF4437BA41BBBB395A25C6D26E23"/>
    <w:rsid w:val="001B2462"/>
  </w:style>
  <w:style w:type="paragraph" w:customStyle="1" w:styleId="704F084D8906471F8B366001A0817786">
    <w:name w:val="704F084D8906471F8B366001A0817786"/>
    <w:rsid w:val="001B2462"/>
  </w:style>
  <w:style w:type="paragraph" w:customStyle="1" w:styleId="5D48A69083CF477B8CF3416F8109C697">
    <w:name w:val="5D48A69083CF477B8CF3416F8109C697"/>
    <w:rsid w:val="001B2462"/>
  </w:style>
  <w:style w:type="paragraph" w:customStyle="1" w:styleId="28B0BF35315A4856B6BB88281E5794A5">
    <w:name w:val="28B0BF35315A4856B6BB88281E5794A5"/>
    <w:rsid w:val="001B24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C. Cavanaugh</dc:creator>
  <cp:lastModifiedBy>Underwood, Kellye (OSSE)</cp:lastModifiedBy>
  <cp:revision>2</cp:revision>
  <dcterms:created xsi:type="dcterms:W3CDTF">2021-01-22T15:59:00Z</dcterms:created>
  <dcterms:modified xsi:type="dcterms:W3CDTF">2021-01-22T15:59:00Z</dcterms:modified>
</cp:coreProperties>
</file>