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3913C" w14:textId="7A18A1B9" w:rsidR="00EC58A0" w:rsidRPr="00EC58A0" w:rsidRDefault="00EC58A0" w:rsidP="00EC58A0">
      <w:pPr>
        <w:jc w:val="center"/>
        <w:rPr>
          <w:b/>
          <w:u w:val="single"/>
        </w:rPr>
      </w:pPr>
      <w:bookmarkStart w:id="0" w:name="_GoBack"/>
      <w:r w:rsidRPr="00EC58A0">
        <w:rPr>
          <w:b/>
          <w:u w:val="single"/>
        </w:rPr>
        <w:t>Guide to Completing Revised Consolidated State Plan Template</w:t>
      </w:r>
      <w:bookmarkEnd w:id="0"/>
    </w:p>
    <w:p w14:paraId="7D0D162C" w14:textId="77777777" w:rsidR="00EC58A0" w:rsidRDefault="00EC58A0" w:rsidP="00EC58A0">
      <w:pPr>
        <w:jc w:val="center"/>
        <w:rPr>
          <w:sz w:val="22"/>
          <w:szCs w:val="22"/>
        </w:rPr>
      </w:pPr>
    </w:p>
    <w:p w14:paraId="2B92A3FE" w14:textId="6ED91979" w:rsidR="002D4903" w:rsidRDefault="00AB0EBE" w:rsidP="002D4903">
      <w:pPr>
        <w:rPr>
          <w:sz w:val="22"/>
          <w:szCs w:val="22"/>
        </w:rPr>
      </w:pPr>
      <w:r>
        <w:rPr>
          <w:sz w:val="22"/>
          <w:szCs w:val="22"/>
        </w:rPr>
        <w:t xml:space="preserve">In order to </w:t>
      </w:r>
      <w:r w:rsidR="009D76BC">
        <w:rPr>
          <w:sz w:val="22"/>
          <w:szCs w:val="22"/>
        </w:rPr>
        <w:t xml:space="preserve">support </w:t>
      </w:r>
      <w:r>
        <w:rPr>
          <w:sz w:val="22"/>
          <w:szCs w:val="22"/>
        </w:rPr>
        <w:t xml:space="preserve">State educational agencies (SEAs) to leverage their work </w:t>
      </w:r>
      <w:r w:rsidR="007411C5">
        <w:rPr>
          <w:sz w:val="22"/>
          <w:szCs w:val="22"/>
        </w:rPr>
        <w:t>developing</w:t>
      </w:r>
      <w:r>
        <w:rPr>
          <w:sz w:val="22"/>
          <w:szCs w:val="22"/>
        </w:rPr>
        <w:t xml:space="preserve"> a consolidated State plan, the U.S. Department of Education provides t</w:t>
      </w:r>
      <w:r w:rsidR="002D4903" w:rsidRPr="00223498">
        <w:rPr>
          <w:sz w:val="22"/>
          <w:szCs w:val="22"/>
        </w:rPr>
        <w:t xml:space="preserve">he following table </w:t>
      </w:r>
      <w:r>
        <w:rPr>
          <w:sz w:val="22"/>
          <w:szCs w:val="22"/>
        </w:rPr>
        <w:t>as a guide to SEAs</w:t>
      </w:r>
      <w:r w:rsidR="002D4903" w:rsidRPr="00223498">
        <w:rPr>
          <w:sz w:val="22"/>
          <w:szCs w:val="22"/>
        </w:rPr>
        <w:t xml:space="preserve"> </w:t>
      </w:r>
      <w:r>
        <w:rPr>
          <w:sz w:val="22"/>
          <w:szCs w:val="22"/>
        </w:rPr>
        <w:t>preparing to submit the</w:t>
      </w:r>
      <w:r w:rsidR="002D4903" w:rsidRPr="00223498">
        <w:rPr>
          <w:sz w:val="22"/>
          <w:szCs w:val="22"/>
        </w:rPr>
        <w:t xml:space="preserve"> Revised Consolidated State Plan </w:t>
      </w:r>
      <w:r w:rsidR="009D76BC">
        <w:rPr>
          <w:sz w:val="22"/>
          <w:szCs w:val="22"/>
        </w:rPr>
        <w:t>T</w:t>
      </w:r>
      <w:r w:rsidR="002D4903" w:rsidRPr="00223498">
        <w:rPr>
          <w:sz w:val="22"/>
          <w:szCs w:val="22"/>
        </w:rPr>
        <w:t xml:space="preserve">emplate published on March 13, 2017 </w:t>
      </w:r>
      <w:r>
        <w:rPr>
          <w:sz w:val="22"/>
          <w:szCs w:val="22"/>
        </w:rPr>
        <w:t xml:space="preserve">under </w:t>
      </w:r>
      <w:r w:rsidR="002D4903">
        <w:rPr>
          <w:sz w:val="22"/>
          <w:szCs w:val="22"/>
        </w:rPr>
        <w:t>section 8302 of the Elementary and Secondary Education Act of 1965 (ESEA), as amended by the Every Student Succeeds Act (ESSA)</w:t>
      </w:r>
      <w:r w:rsidR="002D4903" w:rsidRPr="00223498">
        <w:rPr>
          <w:sz w:val="22"/>
          <w:szCs w:val="22"/>
        </w:rPr>
        <w:t>.</w:t>
      </w:r>
      <w:r w:rsidR="007411C5">
        <w:rPr>
          <w:sz w:val="22"/>
          <w:szCs w:val="22"/>
        </w:rPr>
        <w:t xml:space="preserve"> An SEA may consider using its previously developed responses to requirements in the original November 29, 2016 template as a basis for responding to the requirements in the </w:t>
      </w:r>
      <w:r w:rsidR="007411C5" w:rsidRPr="00223498">
        <w:rPr>
          <w:sz w:val="22"/>
          <w:szCs w:val="22"/>
        </w:rPr>
        <w:t xml:space="preserve">Revised Consolidated State Plan </w:t>
      </w:r>
      <w:r w:rsidR="007411C5">
        <w:rPr>
          <w:sz w:val="22"/>
          <w:szCs w:val="22"/>
        </w:rPr>
        <w:t>T</w:t>
      </w:r>
      <w:r w:rsidR="007411C5" w:rsidRPr="00223498">
        <w:rPr>
          <w:sz w:val="22"/>
          <w:szCs w:val="22"/>
        </w:rPr>
        <w:t>empl</w:t>
      </w:r>
      <w:r w:rsidR="007411C5">
        <w:rPr>
          <w:sz w:val="22"/>
          <w:szCs w:val="22"/>
        </w:rPr>
        <w:t>ate.</w:t>
      </w:r>
    </w:p>
    <w:p w14:paraId="2B92A3FF" w14:textId="77777777" w:rsidR="002D4903" w:rsidRPr="00223498" w:rsidRDefault="002D4903" w:rsidP="002D4903">
      <w:pPr>
        <w:rPr>
          <w:sz w:val="22"/>
          <w:szCs w:val="22"/>
        </w:rPr>
      </w:pPr>
      <w:r w:rsidRPr="00223498">
        <w:rPr>
          <w:sz w:val="22"/>
          <w:szCs w:val="22"/>
        </w:rPr>
        <w:t xml:space="preserve">   </w:t>
      </w:r>
    </w:p>
    <w:tbl>
      <w:tblPr>
        <w:tblW w:w="47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780"/>
        <w:gridCol w:w="1115"/>
        <w:gridCol w:w="1329"/>
      </w:tblGrid>
      <w:tr w:rsidR="002D4903" w:rsidRPr="00223498" w14:paraId="2B92A404" w14:textId="77777777" w:rsidTr="00EC58A0">
        <w:trPr>
          <w:tblHeader/>
        </w:trPr>
        <w:tc>
          <w:tcPr>
            <w:tcW w:w="26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State Plan Requirements by Program</w:t>
            </w:r>
          </w:p>
        </w:tc>
        <w:tc>
          <w:tcPr>
            <w:tcW w:w="9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1" w14:textId="2E152A4D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 xml:space="preserve">Statutory </w:t>
            </w:r>
            <w:r w:rsidR="00B456EB">
              <w:rPr>
                <w:b/>
                <w:bCs/>
                <w:sz w:val="22"/>
                <w:szCs w:val="22"/>
              </w:rPr>
              <w:t xml:space="preserve">and Regulatory </w:t>
            </w:r>
            <w:r w:rsidRPr="00223498">
              <w:rPr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2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Item(s) from Revised Template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Item(s) from</w:t>
            </w:r>
            <w:r w:rsidRPr="00223498">
              <w:rPr>
                <w:sz w:val="22"/>
                <w:szCs w:val="22"/>
              </w:rPr>
              <w:t xml:space="preserve"> </w:t>
            </w:r>
            <w:r w:rsidRPr="00223498">
              <w:rPr>
                <w:b/>
                <w:bCs/>
                <w:sz w:val="22"/>
                <w:szCs w:val="22"/>
              </w:rPr>
              <w:t xml:space="preserve">Original Template </w:t>
            </w:r>
          </w:p>
        </w:tc>
      </w:tr>
      <w:tr w:rsidR="002D4903" w:rsidRPr="00223498" w14:paraId="2B92A409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 xml:space="preserve">Title I, Part A: Improving Basic Programs Operated by Local Educational Agencies </w:t>
            </w:r>
            <w:r w:rsidRPr="00223498">
              <w:rPr>
                <w:b/>
                <w:bCs/>
                <w:iCs/>
                <w:sz w:val="22"/>
                <w:szCs w:val="22"/>
              </w:rPr>
              <w:t>(LEAs)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6" w14:textId="731084E7" w:rsidR="002D4903" w:rsidRPr="00223498" w:rsidRDefault="002A4E63" w:rsidP="002A4E6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B456EB">
              <w:rPr>
                <w:b/>
                <w:bCs/>
                <w:sz w:val="22"/>
                <w:szCs w:val="22"/>
              </w:rPr>
              <w:t xml:space="preserve">itation to </w:t>
            </w:r>
            <w:r w:rsidR="002D4903">
              <w:rPr>
                <w:b/>
                <w:bCs/>
                <w:sz w:val="22"/>
                <w:szCs w:val="22"/>
              </w:rPr>
              <w:t>ESEA, as amended by the ESSA</w:t>
            </w:r>
            <w:r w:rsidR="00B456EB">
              <w:rPr>
                <w:b/>
                <w:bCs/>
                <w:sz w:val="22"/>
                <w:szCs w:val="22"/>
              </w:rPr>
              <w:t xml:space="preserve">, and </w:t>
            </w:r>
            <w:r w:rsidR="00241528">
              <w:rPr>
                <w:b/>
                <w:bCs/>
                <w:sz w:val="22"/>
                <w:szCs w:val="22"/>
              </w:rPr>
              <w:t xml:space="preserve">Part 200 </w:t>
            </w:r>
            <w:r w:rsidR="00B456EB">
              <w:rPr>
                <w:b/>
                <w:bCs/>
                <w:sz w:val="22"/>
                <w:szCs w:val="22"/>
              </w:rPr>
              <w:t>regulations</w:t>
            </w:r>
            <w:r w:rsidR="002D490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7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8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0E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Eighth Grade Math Exception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B" w14:textId="72190920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1111(b)(2)(C)</w:t>
            </w:r>
            <w:r w:rsidR="005376C1">
              <w:rPr>
                <w:sz w:val="22"/>
                <w:szCs w:val="22"/>
              </w:rPr>
              <w:t>;</w:t>
            </w:r>
            <w:r w:rsidRPr="00223498">
              <w:rPr>
                <w:sz w:val="22"/>
                <w:szCs w:val="22"/>
              </w:rPr>
              <w:t xml:space="preserve"> 34 CFR 200.5(b)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A.2.i-iii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0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3.A</w:t>
            </w:r>
          </w:p>
        </w:tc>
      </w:tr>
      <w:tr w:rsidR="002D4903" w:rsidRPr="00223498" w14:paraId="2B92A413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0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Native Language Assessment</w:t>
            </w:r>
            <w:r w:rsidRPr="00223498">
              <w:rPr>
                <w:i/>
                <w:iCs/>
                <w:sz w:val="22"/>
                <w:szCs w:val="22"/>
              </w:rPr>
              <w:t xml:space="preserve">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0" w14:textId="6129E5DC" w:rsidR="002D4903" w:rsidRPr="00223498" w:rsidRDefault="002D4903" w:rsidP="008F3F59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1111(b)(2)(F)</w:t>
            </w:r>
            <w:r w:rsidR="008F3F59">
              <w:rPr>
                <w:sz w:val="22"/>
                <w:szCs w:val="22"/>
              </w:rPr>
              <w:t>;</w:t>
            </w:r>
            <w:r w:rsidRPr="00223498">
              <w:rPr>
                <w:sz w:val="22"/>
                <w:szCs w:val="22"/>
              </w:rPr>
              <w:t xml:space="preserve">  34 CFR 200.6(f)(2)(ii)</w:t>
            </w:r>
            <w:r w:rsidR="008F3F59">
              <w:rPr>
                <w:sz w:val="22"/>
                <w:szCs w:val="22"/>
              </w:rPr>
              <w:t xml:space="preserve"> and</w:t>
            </w:r>
            <w:r w:rsidR="00EA662E">
              <w:rPr>
                <w:sz w:val="22"/>
                <w:szCs w:val="22"/>
              </w:rPr>
              <w:t xml:space="preserve"> (f)(4)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A.3.i-iv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3.B</w:t>
            </w:r>
          </w:p>
        </w:tc>
      </w:tr>
      <w:tr w:rsidR="002D4903" w:rsidRPr="00223498" w14:paraId="2B92A418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Statewide Accountability System and School Support and Improvement Activities (1111(c) and (d))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5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6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7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1D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9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Subgroups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1111(c)(2)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1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A.4.i.a-d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C" w14:textId="04C6989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</w:t>
            </w:r>
            <w:r w:rsidR="00B60632">
              <w:rPr>
                <w:sz w:val="22"/>
                <w:szCs w:val="22"/>
              </w:rPr>
              <w:t>1.</w:t>
            </w:r>
            <w:r w:rsidRPr="00223498">
              <w:rPr>
                <w:sz w:val="22"/>
                <w:szCs w:val="22"/>
              </w:rPr>
              <w:t>B</w:t>
            </w:r>
          </w:p>
        </w:tc>
      </w:tr>
      <w:tr w:rsidR="002D4903" w:rsidRPr="00223498" w14:paraId="2B92A422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E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Minimum N-Size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1F" w14:textId="2D7E567D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A.4.ii.a-e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1" w14:textId="5EE6B03C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</w:t>
            </w:r>
            <w:r w:rsidR="00B60632">
              <w:rPr>
                <w:sz w:val="22"/>
                <w:szCs w:val="22"/>
              </w:rPr>
              <w:t>1.</w:t>
            </w:r>
            <w:r w:rsidRPr="00223498">
              <w:rPr>
                <w:sz w:val="22"/>
                <w:szCs w:val="22"/>
              </w:rPr>
              <w:t>C</w:t>
            </w:r>
          </w:p>
        </w:tc>
      </w:tr>
      <w:tr w:rsidR="002D4903" w:rsidRPr="00223498" w14:paraId="2B92A427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3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Establishment of Long-Term Goals</w:t>
            </w:r>
            <w:r w:rsidRPr="00223498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1111(c)(4)(A)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A.4.iii.a-c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6" w14:textId="66CBB41E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</w:t>
            </w:r>
            <w:r w:rsidR="00EC58A0">
              <w:rPr>
                <w:sz w:val="22"/>
                <w:szCs w:val="22"/>
              </w:rPr>
              <w:t>.A-</w:t>
            </w:r>
            <w:r w:rsidRPr="00223498">
              <w:rPr>
                <w:sz w:val="22"/>
                <w:szCs w:val="22"/>
              </w:rPr>
              <w:t>C</w:t>
            </w:r>
          </w:p>
        </w:tc>
      </w:tr>
      <w:tr w:rsidR="002D4903" w:rsidRPr="00223498" w14:paraId="2B92A42C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8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Indicators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A.4.iv.a-e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4.1.A</w:t>
            </w:r>
          </w:p>
        </w:tc>
      </w:tr>
      <w:tr w:rsidR="002D4903" w:rsidRPr="00223498" w14:paraId="2B92A431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D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Annual Meaningful Differentiation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2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1111(c)(4)(C)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2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A.4.v.a-c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0" w14:textId="3B463813" w:rsidR="002D4903" w:rsidRPr="00223498" w:rsidRDefault="002D4903" w:rsidP="00EC58A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</w:t>
            </w:r>
            <w:r w:rsidR="00B60632">
              <w:rPr>
                <w:sz w:val="22"/>
                <w:szCs w:val="22"/>
              </w:rPr>
              <w:t>1.</w:t>
            </w:r>
            <w:r w:rsidRPr="00223498">
              <w:rPr>
                <w:sz w:val="22"/>
                <w:szCs w:val="22"/>
              </w:rPr>
              <w:t>D</w:t>
            </w:r>
            <w:r w:rsidR="00EC58A0">
              <w:rPr>
                <w:sz w:val="22"/>
                <w:szCs w:val="22"/>
              </w:rPr>
              <w:t>;</w:t>
            </w:r>
            <w:r w:rsidR="00B60632">
              <w:rPr>
                <w:sz w:val="22"/>
                <w:szCs w:val="22"/>
              </w:rPr>
              <w:t xml:space="preserve"> </w:t>
            </w:r>
            <w:r w:rsidR="00EC58A0">
              <w:rPr>
                <w:sz w:val="22"/>
                <w:szCs w:val="22"/>
              </w:rPr>
              <w:t>4.1.</w:t>
            </w:r>
            <w:r w:rsidR="00B60632">
              <w:rPr>
                <w:sz w:val="22"/>
                <w:szCs w:val="22"/>
              </w:rPr>
              <w:t>G</w:t>
            </w:r>
          </w:p>
        </w:tc>
      </w:tr>
      <w:tr w:rsidR="002D4903" w:rsidRPr="00223498" w14:paraId="2B92A436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2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Identification of Schools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3" w14:textId="052C7B26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</w:t>
            </w:r>
            <w:r w:rsidR="00B60632">
              <w:rPr>
                <w:sz w:val="22"/>
                <w:szCs w:val="22"/>
              </w:rPr>
              <w:t xml:space="preserve">(C)(iii) and </w:t>
            </w:r>
            <w:r w:rsidRPr="00223498">
              <w:rPr>
                <w:sz w:val="22"/>
                <w:szCs w:val="22"/>
              </w:rPr>
              <w:t>(D)</w:t>
            </w:r>
            <w:r w:rsidR="00B60632">
              <w:rPr>
                <w:sz w:val="22"/>
                <w:szCs w:val="22"/>
              </w:rPr>
              <w:t>; 1111(d)(2)(C)-(D)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3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A.4.vi.a-g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5" w14:textId="261232C8" w:rsidR="002D4903" w:rsidRPr="00223498" w:rsidRDefault="002D4903" w:rsidP="00EC58A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4.2.A</w:t>
            </w:r>
            <w:r w:rsidR="00EC58A0">
              <w:rPr>
                <w:sz w:val="22"/>
                <w:szCs w:val="22"/>
              </w:rPr>
              <w:t>-</w:t>
            </w:r>
            <w:r w:rsidRPr="00223498">
              <w:rPr>
                <w:sz w:val="22"/>
                <w:szCs w:val="22"/>
              </w:rPr>
              <w:t>B</w:t>
            </w:r>
          </w:p>
        </w:tc>
      </w:tr>
      <w:tr w:rsidR="002D4903" w:rsidRPr="00223498" w14:paraId="2B92A43B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7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Annual Measurement of Achievement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1111(c)(4)(E)(iii)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3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4.1.E</w:t>
            </w:r>
          </w:p>
        </w:tc>
      </w:tr>
      <w:tr w:rsidR="002D4903" w:rsidRPr="00223498" w14:paraId="2B92A440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C" w14:textId="77777777" w:rsidR="002D4903" w:rsidRPr="00223498" w:rsidRDefault="002D4903" w:rsidP="005D114D">
            <w:pPr>
              <w:ind w:left="360"/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Continued Support for School and LEA Improvement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D" w14:textId="5F8B606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1111(d)(3)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3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A.4.viii.a-f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3F" w14:textId="75BDC131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4.2.A.ii; 4.2.B.iii; 4.3.</w:t>
            </w:r>
            <w:r w:rsidR="002C3A21">
              <w:rPr>
                <w:sz w:val="22"/>
                <w:szCs w:val="22"/>
              </w:rPr>
              <w:t>B-</w:t>
            </w:r>
            <w:r w:rsidRPr="00223498">
              <w:rPr>
                <w:sz w:val="22"/>
                <w:szCs w:val="22"/>
              </w:rPr>
              <w:t xml:space="preserve">D </w:t>
            </w:r>
          </w:p>
        </w:tc>
      </w:tr>
      <w:tr w:rsidR="002D4903" w:rsidRPr="00223498" w14:paraId="2B92A445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Disproportionate Rates of Access to Educators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1111(g)(1) 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4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4" w14:textId="7F4A9D71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5.3.B</w:t>
            </w:r>
            <w:r w:rsidR="00EC58A0">
              <w:rPr>
                <w:sz w:val="22"/>
                <w:szCs w:val="22"/>
              </w:rPr>
              <w:t>-</w:t>
            </w:r>
            <w:r w:rsidRPr="00223498">
              <w:rPr>
                <w:sz w:val="22"/>
                <w:szCs w:val="22"/>
              </w:rPr>
              <w:t>C</w:t>
            </w:r>
          </w:p>
        </w:tc>
      </w:tr>
      <w:tr w:rsidR="002D4903" w:rsidRPr="00223498" w14:paraId="2B92A44A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School Conditions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1111(g)(1)(C)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4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6.1.C</w:t>
            </w:r>
          </w:p>
        </w:tc>
      </w:tr>
      <w:tr w:rsidR="002D4903" w:rsidRPr="00223498" w14:paraId="2B92A44F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School Transitions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1111(g)(1)(D)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4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A.7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4E" w14:textId="77873B81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6.1.A</w:t>
            </w:r>
            <w:r w:rsidR="00EC58A0">
              <w:rPr>
                <w:sz w:val="22"/>
                <w:szCs w:val="22"/>
              </w:rPr>
              <w:t>-</w:t>
            </w:r>
            <w:r w:rsidRPr="00223498">
              <w:rPr>
                <w:sz w:val="22"/>
                <w:szCs w:val="22"/>
              </w:rPr>
              <w:t>B</w:t>
            </w:r>
          </w:p>
        </w:tc>
      </w:tr>
      <w:tr w:rsidR="002D4903" w:rsidRPr="00223498" w14:paraId="2B92A454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I, Part C: Education of Migratory Children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1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2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3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59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5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Supporting Needs of Migratory Children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1304(b)(1)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B.1.i-iv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8" w14:textId="4D764770" w:rsidR="002D4903" w:rsidRPr="00223498" w:rsidRDefault="002D4903" w:rsidP="00EC58A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6.2.B.</w:t>
            </w:r>
            <w:r w:rsidR="0096752F">
              <w:rPr>
                <w:sz w:val="22"/>
                <w:szCs w:val="22"/>
              </w:rPr>
              <w:t>ii</w:t>
            </w:r>
            <w:r w:rsidR="00373EC3">
              <w:rPr>
                <w:sz w:val="22"/>
                <w:szCs w:val="22"/>
              </w:rPr>
              <w:t xml:space="preserve"> </w:t>
            </w:r>
            <w:r w:rsidR="006047E7">
              <w:rPr>
                <w:sz w:val="22"/>
                <w:szCs w:val="22"/>
              </w:rPr>
              <w:t>–</w:t>
            </w:r>
            <w:r w:rsidRPr="00223498">
              <w:rPr>
                <w:sz w:val="22"/>
                <w:szCs w:val="22"/>
              </w:rPr>
              <w:t>iii</w:t>
            </w:r>
            <w:r w:rsidR="006047E7">
              <w:rPr>
                <w:sz w:val="22"/>
                <w:szCs w:val="22"/>
              </w:rPr>
              <w:t xml:space="preserve"> and vi</w:t>
            </w:r>
          </w:p>
        </w:tc>
      </w:tr>
      <w:tr w:rsidR="002D4903" w:rsidRPr="00223498" w14:paraId="2B92A45E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Promote Coordination of Services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1304(b)(3)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5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B.2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6.2.B.iv</w:t>
            </w:r>
          </w:p>
        </w:tc>
      </w:tr>
      <w:tr w:rsidR="002D4903" w:rsidRPr="00223498" w14:paraId="2B92A463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5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lastRenderedPageBreak/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1304(b)(4)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B.3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2" w14:textId="77B960B0" w:rsidR="002D4903" w:rsidRPr="00223498" w:rsidRDefault="002D4903" w:rsidP="00AB70E0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6.2.B.viii</w:t>
            </w:r>
          </w:p>
        </w:tc>
      </w:tr>
      <w:tr w:rsidR="002D4903" w:rsidRPr="00223498" w14:paraId="2B92A468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I, Part D: Prevention and Intervention Programs for Children and Youth Who Are Neglected, Delinquent, or At-Risk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5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6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7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6D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Transitions Between Correctional Facilities and Local Programs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1414(a)(1)(B)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6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C.1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6.2.C.i</w:t>
            </w:r>
          </w:p>
        </w:tc>
      </w:tr>
      <w:tr w:rsidR="002D4903" w:rsidRPr="00223498" w14:paraId="2B92A472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Program Objectives and Outcomes 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6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1414(a)(2)(A)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C.2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6.2.C.ii</w:t>
            </w:r>
          </w:p>
        </w:tc>
      </w:tr>
      <w:tr w:rsidR="002D4903" w:rsidRPr="00223498" w14:paraId="2B92A477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II, Part A: Supporting Effective Instruction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4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5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6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7C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2101(d)(2)(A) and (D)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5.2.A</w:t>
            </w:r>
          </w:p>
        </w:tc>
      </w:tr>
      <w:tr w:rsidR="002D4903" w:rsidRPr="00223498" w14:paraId="2B92A481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D" w14:textId="2F42B61E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Use of Funds to Improve Equitable Access to Teachers in Title I, Part A Schools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7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2101(d)(2)(E)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7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5.2.A; 5.3.E</w:t>
            </w:r>
          </w:p>
        </w:tc>
      </w:tr>
      <w:tr w:rsidR="002D4903" w:rsidRPr="00223498" w14:paraId="2B92A486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2" w14:textId="55906C34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System of Certification and Licensing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5.1.A</w:t>
            </w:r>
          </w:p>
        </w:tc>
      </w:tr>
      <w:tr w:rsidR="002D4903" w:rsidRPr="00223498" w14:paraId="2B92A48B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Improving Skills of Educators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2101(d)(2)(J)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5.2.B</w:t>
            </w:r>
          </w:p>
        </w:tc>
      </w:tr>
      <w:tr w:rsidR="002D4903" w:rsidRPr="00223498" w14:paraId="2B92A490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Data and Consultation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D" w14:textId="4A8EECAD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</w:t>
            </w:r>
            <w:r w:rsidR="00A3230E">
              <w:rPr>
                <w:sz w:val="22"/>
                <w:szCs w:val="22"/>
              </w:rPr>
              <w:t>1</w:t>
            </w:r>
            <w:r w:rsidRPr="00223498">
              <w:rPr>
                <w:sz w:val="22"/>
                <w:szCs w:val="22"/>
              </w:rPr>
              <w:t>(d)(2)(K)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8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8F" w14:textId="5A4E2585" w:rsidR="002D4903" w:rsidRPr="00223498" w:rsidRDefault="00EC58A0" w:rsidP="005D11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2.C-</w:t>
            </w:r>
            <w:r w:rsidR="002D4903" w:rsidRPr="00223498">
              <w:rPr>
                <w:sz w:val="22"/>
                <w:szCs w:val="22"/>
              </w:rPr>
              <w:t>D</w:t>
            </w:r>
          </w:p>
        </w:tc>
      </w:tr>
      <w:tr w:rsidR="002D4903" w:rsidRPr="00223498" w14:paraId="2B92A495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Teacher Preparation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2" w14:textId="5EC1E12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210</w:t>
            </w:r>
            <w:r w:rsidR="00A3230E">
              <w:rPr>
                <w:sz w:val="22"/>
                <w:szCs w:val="22"/>
              </w:rPr>
              <w:t>1</w:t>
            </w:r>
            <w:r w:rsidRPr="00223498">
              <w:rPr>
                <w:sz w:val="22"/>
                <w:szCs w:val="22"/>
              </w:rPr>
              <w:t>(d)(2)(M)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D.6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5.1.B</w:t>
            </w:r>
          </w:p>
        </w:tc>
      </w:tr>
      <w:tr w:rsidR="002D4903" w:rsidRPr="00223498" w14:paraId="2B92A49A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III, Part A, Subpart 1: English Language Acquisition and Language Enhancement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7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8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9" w14:textId="77777777" w:rsidR="002D4903" w:rsidRPr="00223498" w:rsidRDefault="002D4903" w:rsidP="005D114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D4903" w:rsidRPr="00223498" w14:paraId="2B92A49F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Entrance and Exit Procedures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3113(b)(2)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9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9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6.2.D.i</w:t>
            </w:r>
          </w:p>
        </w:tc>
      </w:tr>
      <w:tr w:rsidR="002D4903" w:rsidRPr="00223498" w14:paraId="2B92A4A4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SEA Support for English Learner Progress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3113(b)(6)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E.2.i-ii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--</w:t>
            </w:r>
          </w:p>
        </w:tc>
      </w:tr>
      <w:tr w:rsidR="002D4903" w:rsidRPr="00223498" w14:paraId="2B92A4A9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Monitoring and Technical Assistance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3113(b)(8)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E.3.i-ii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2.2.B and D</w:t>
            </w:r>
          </w:p>
        </w:tc>
      </w:tr>
      <w:tr w:rsidR="002D4903" w:rsidRPr="00223498" w14:paraId="2B92A4AE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IV, Part A: Student Support and Academic Enrichment Grants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B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C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AD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B3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A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4103(c)(2)(A)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F.1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2" w14:textId="4EE6C43F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6.1.A</w:t>
            </w:r>
            <w:r w:rsidR="00E01895">
              <w:rPr>
                <w:sz w:val="22"/>
                <w:szCs w:val="22"/>
              </w:rPr>
              <w:t>-E</w:t>
            </w:r>
          </w:p>
        </w:tc>
      </w:tr>
      <w:tr w:rsidR="002D4903" w:rsidRPr="00223498" w14:paraId="2B92A4B8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Awarding </w:t>
            </w:r>
            <w:proofErr w:type="spellStart"/>
            <w:r w:rsidRPr="00223498">
              <w:rPr>
                <w:sz w:val="22"/>
                <w:szCs w:val="22"/>
              </w:rPr>
              <w:t>Subgrants</w:t>
            </w:r>
            <w:proofErr w:type="spellEnd"/>
            <w:r w:rsidRPr="00223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4103(c)(2)(B)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F.2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--</w:t>
            </w:r>
          </w:p>
        </w:tc>
      </w:tr>
      <w:tr w:rsidR="002D4903" w:rsidRPr="00223498" w14:paraId="2B92A4BD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IV, Part B: 21st Century Community Learning Centers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A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B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BC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C2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Use of Funds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B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4203(a)(2)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G.1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6.2.E.i</w:t>
            </w:r>
          </w:p>
        </w:tc>
      </w:tr>
      <w:tr w:rsidR="002D4903" w:rsidRPr="00223498" w14:paraId="2B92A4C7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Awarding </w:t>
            </w:r>
            <w:proofErr w:type="spellStart"/>
            <w:r w:rsidRPr="00223498">
              <w:rPr>
                <w:sz w:val="22"/>
                <w:szCs w:val="22"/>
              </w:rPr>
              <w:t>Subgrants</w:t>
            </w:r>
            <w:proofErr w:type="spellEnd"/>
            <w:r w:rsidRPr="00223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4203(a)(4)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G.2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6.2.E.ii</w:t>
            </w:r>
          </w:p>
        </w:tc>
      </w:tr>
      <w:tr w:rsidR="002D4903" w:rsidRPr="00223498" w14:paraId="2B92A4CC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Title V, Part B, Subpart 2: Rural and Low-Income School Program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9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A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B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D1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Outcomes and Objectives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C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5223(b)(1)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C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H.1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6.2.F.i</w:t>
            </w:r>
          </w:p>
        </w:tc>
      </w:tr>
      <w:tr w:rsidR="002D4903" w:rsidRPr="00223498" w14:paraId="2B92A4D6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Technical Assistance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5223(b)(3)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H.2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2.2.D</w:t>
            </w:r>
          </w:p>
        </w:tc>
      </w:tr>
      <w:tr w:rsidR="002D4903" w:rsidRPr="00223498" w14:paraId="2B92A4DB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>Education for Homeless Children and Youth Program, McKinney-Vento Homeless Assistance Act, Title VII, Subtitle B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8" w14:textId="77777777" w:rsidR="002D4903" w:rsidRPr="00223498" w:rsidRDefault="002D4903" w:rsidP="005D114D">
            <w:pPr>
              <w:rPr>
                <w:b/>
                <w:bCs/>
                <w:sz w:val="22"/>
                <w:szCs w:val="22"/>
              </w:rPr>
            </w:pPr>
            <w:r w:rsidRPr="00223498">
              <w:rPr>
                <w:b/>
                <w:bCs/>
                <w:sz w:val="22"/>
                <w:szCs w:val="22"/>
              </w:rPr>
              <w:t xml:space="preserve">McKinney-Vento Citation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9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A" w14:textId="77777777" w:rsidR="002D4903" w:rsidRPr="00223498" w:rsidRDefault="002D4903" w:rsidP="005D114D">
            <w:pPr>
              <w:rPr>
                <w:sz w:val="22"/>
                <w:szCs w:val="22"/>
              </w:rPr>
            </w:pPr>
          </w:p>
        </w:tc>
      </w:tr>
      <w:tr w:rsidR="002D4903" w:rsidRPr="00223498" w14:paraId="2B92A4E0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Student Identification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722(g)(1)(B)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DE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DF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6.2.G.i</w:t>
            </w:r>
          </w:p>
        </w:tc>
      </w:tr>
      <w:tr w:rsidR="002D4903" w:rsidRPr="00223498" w14:paraId="2B92A4E5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Dispute Resolution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722(g)(1)(C)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E3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4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6.2.G.iii</w:t>
            </w:r>
          </w:p>
        </w:tc>
      </w:tr>
      <w:tr w:rsidR="002D4903" w:rsidRPr="00223498" w14:paraId="2B92A4EA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Support for School Personnel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722(g)(1)(D)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E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9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6.2.G.ii</w:t>
            </w:r>
          </w:p>
        </w:tc>
      </w:tr>
      <w:tr w:rsidR="002D4903" w:rsidRPr="00223498" w14:paraId="2B92A4EF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Access to Services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C" w14:textId="6598C275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722(g)(1)(F)</w:t>
            </w:r>
            <w:r w:rsidR="003B3A24">
              <w:rPr>
                <w:sz w:val="22"/>
                <w:szCs w:val="22"/>
              </w:rPr>
              <w:t>(i</w:t>
            </w:r>
            <w:r w:rsidRPr="00223498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ED" w14:textId="74123EC0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EE" w14:textId="26393002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6.2.G.v</w:t>
            </w:r>
            <w:r w:rsidR="003B3A24">
              <w:rPr>
                <w:sz w:val="22"/>
                <w:szCs w:val="22"/>
              </w:rPr>
              <w:t>.1</w:t>
            </w:r>
            <w:r w:rsidR="009D76BC">
              <w:rPr>
                <w:sz w:val="22"/>
                <w:szCs w:val="22"/>
              </w:rPr>
              <w:t xml:space="preserve"> and 2; 6.2.G.iv</w:t>
            </w:r>
          </w:p>
        </w:tc>
      </w:tr>
      <w:tr w:rsidR="002D4903" w:rsidRPr="00223498" w14:paraId="2B92A4F4" w14:textId="77777777" w:rsidTr="00EC58A0">
        <w:tc>
          <w:tcPr>
            <w:tcW w:w="26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0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Strategies to Address Other Problems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1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722(g)(1)(H)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F2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I.5.i-v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3" w14:textId="7FB3FADF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</w:t>
            </w:r>
            <w:r w:rsidR="00772E2E">
              <w:rPr>
                <w:sz w:val="22"/>
                <w:szCs w:val="22"/>
              </w:rPr>
              <w:t>vi</w:t>
            </w:r>
          </w:p>
        </w:tc>
      </w:tr>
      <w:tr w:rsidR="002D4903" w:rsidRPr="00223498" w14:paraId="2B92A4F9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5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lastRenderedPageBreak/>
              <w:t xml:space="preserve">Policies to Remove Barriers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6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722(g)(1)(I)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F7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8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6.2.G.vi</w:t>
            </w:r>
          </w:p>
        </w:tc>
      </w:tr>
      <w:tr w:rsidR="002D4903" w:rsidRPr="00223498" w14:paraId="2B92A4FE" w14:textId="77777777" w:rsidTr="00EC58A0">
        <w:tc>
          <w:tcPr>
            <w:tcW w:w="265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A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Assistance from Counselors 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B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 xml:space="preserve">722(g)(1)(K)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2A4FC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I.7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A4FD" w14:textId="77777777" w:rsidR="002D4903" w:rsidRPr="00223498" w:rsidRDefault="002D4903" w:rsidP="005D114D">
            <w:pPr>
              <w:rPr>
                <w:sz w:val="22"/>
                <w:szCs w:val="22"/>
              </w:rPr>
            </w:pPr>
            <w:r w:rsidRPr="00223498">
              <w:rPr>
                <w:sz w:val="22"/>
                <w:szCs w:val="22"/>
              </w:rPr>
              <w:t>--</w:t>
            </w:r>
          </w:p>
        </w:tc>
      </w:tr>
    </w:tbl>
    <w:p w14:paraId="2B92A500" w14:textId="77777777" w:rsidR="00682923" w:rsidRDefault="00682923"/>
    <w:sectPr w:rsidR="0068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03"/>
    <w:rsid w:val="00134A84"/>
    <w:rsid w:val="001E1091"/>
    <w:rsid w:val="00241528"/>
    <w:rsid w:val="0024655A"/>
    <w:rsid w:val="002A4E63"/>
    <w:rsid w:val="002C3A21"/>
    <w:rsid w:val="002D4903"/>
    <w:rsid w:val="002D72EA"/>
    <w:rsid w:val="002E4EFB"/>
    <w:rsid w:val="00327BD3"/>
    <w:rsid w:val="00354B33"/>
    <w:rsid w:val="00373EC3"/>
    <w:rsid w:val="003939E5"/>
    <w:rsid w:val="00394B6F"/>
    <w:rsid w:val="003B3A24"/>
    <w:rsid w:val="003E3487"/>
    <w:rsid w:val="0042256E"/>
    <w:rsid w:val="00426BC7"/>
    <w:rsid w:val="00536F9E"/>
    <w:rsid w:val="005376C1"/>
    <w:rsid w:val="0055412A"/>
    <w:rsid w:val="00580F33"/>
    <w:rsid w:val="005D114D"/>
    <w:rsid w:val="006047E7"/>
    <w:rsid w:val="00682923"/>
    <w:rsid w:val="006E0816"/>
    <w:rsid w:val="007156F4"/>
    <w:rsid w:val="007411C5"/>
    <w:rsid w:val="00772E2E"/>
    <w:rsid w:val="007C303A"/>
    <w:rsid w:val="0088095F"/>
    <w:rsid w:val="008A7167"/>
    <w:rsid w:val="008F3F59"/>
    <w:rsid w:val="008F55DA"/>
    <w:rsid w:val="0096752F"/>
    <w:rsid w:val="009733C8"/>
    <w:rsid w:val="009D76BC"/>
    <w:rsid w:val="00A1121B"/>
    <w:rsid w:val="00A3230E"/>
    <w:rsid w:val="00A44580"/>
    <w:rsid w:val="00AB0EBE"/>
    <w:rsid w:val="00AB70E0"/>
    <w:rsid w:val="00B456EB"/>
    <w:rsid w:val="00B56459"/>
    <w:rsid w:val="00B60632"/>
    <w:rsid w:val="00B90BFD"/>
    <w:rsid w:val="00BF21AB"/>
    <w:rsid w:val="00C416B9"/>
    <w:rsid w:val="00CE5EBD"/>
    <w:rsid w:val="00D0572B"/>
    <w:rsid w:val="00D162E6"/>
    <w:rsid w:val="00D542A3"/>
    <w:rsid w:val="00DE14C8"/>
    <w:rsid w:val="00E01000"/>
    <w:rsid w:val="00E01895"/>
    <w:rsid w:val="00E241F5"/>
    <w:rsid w:val="00EA56A7"/>
    <w:rsid w:val="00EA662E"/>
    <w:rsid w:val="00EB6E1D"/>
    <w:rsid w:val="00EC58A0"/>
    <w:rsid w:val="00F436AD"/>
    <w:rsid w:val="00F50DB9"/>
    <w:rsid w:val="00F52AEB"/>
    <w:rsid w:val="00F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1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1A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5883A40693A4399D5CC0B3B8C555A" ma:contentTypeVersion="0" ma:contentTypeDescription="Create a new document." ma:contentTypeScope="" ma:versionID="835a2ec1f600840c16c3cb6a1582cb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958C-8E2E-4F58-8DEE-CE9527790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3EAB07-D694-4485-9A8D-320457D74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14D1F-3BE1-4B38-8B07-203B2C900236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2ED27E-F85A-4CE5-B338-BBE62455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Plan Crosswalk 3.10.2017 (WORD)</vt:lpstr>
    </vt:vector>
  </TitlesOfParts>
  <Company>U.S. Department of Education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Plan Crosswalk 3.10.2017 (WORD)</dc:title>
  <dc:creator>us department of education</dc:creator>
  <cp:lastModifiedBy>ServUS</cp:lastModifiedBy>
  <cp:revision>2</cp:revision>
  <cp:lastPrinted>2017-03-10T19:00:00Z</cp:lastPrinted>
  <dcterms:created xsi:type="dcterms:W3CDTF">2017-03-21T20:55:00Z</dcterms:created>
  <dcterms:modified xsi:type="dcterms:W3CDTF">2017-03-21T20:55:00Z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0x010100F615883A40693A4399D5CC0B3B8C555A</vt:lpwstr>
  </property>
</Properties>
</file>