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F819" w14:textId="77777777" w:rsidR="00C9439F" w:rsidRPr="00FF6F92" w:rsidRDefault="00C9439F" w:rsidP="00805113">
      <w:pPr>
        <w:rPr>
          <w:sz w:val="20"/>
          <w:szCs w:val="20"/>
        </w:rPr>
      </w:pPr>
    </w:p>
    <w:p w14:paraId="2064AFC4" w14:textId="77777777" w:rsidR="00952368" w:rsidRPr="00FF6F92" w:rsidRDefault="00952368" w:rsidP="00805113">
      <w:pPr>
        <w:tabs>
          <w:tab w:val="left" w:pos="2160"/>
          <w:tab w:val="left" w:pos="279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6"/>
      </w:tblGrid>
      <w:tr w:rsidR="00952368" w:rsidRPr="00FF6F92" w14:paraId="3FCCBCAD" w14:textId="77777777" w:rsidTr="00B42BDD">
        <w:trPr>
          <w:trHeight w:val="10043"/>
        </w:trPr>
        <w:tc>
          <w:tcPr>
            <w:tcW w:w="9486" w:type="dxa"/>
          </w:tcPr>
          <w:tbl>
            <w:tblPr>
              <w:tblStyle w:val="TableGrid"/>
              <w:tblW w:w="9355" w:type="dxa"/>
              <w:tblLayout w:type="fixed"/>
              <w:tblLook w:val="04A0" w:firstRow="1" w:lastRow="0" w:firstColumn="1" w:lastColumn="0" w:noHBand="0" w:noVBand="1"/>
            </w:tblPr>
            <w:tblGrid>
              <w:gridCol w:w="1435"/>
              <w:gridCol w:w="6030"/>
              <w:gridCol w:w="1890"/>
            </w:tblGrid>
            <w:tr w:rsidR="00952368" w:rsidRPr="00FF6F92" w14:paraId="6A45B77C" w14:textId="77777777" w:rsidTr="005F1A25">
              <w:trPr>
                <w:trHeight w:val="1277"/>
              </w:trPr>
              <w:tc>
                <w:tcPr>
                  <w:tcW w:w="9355" w:type="dxa"/>
                  <w:gridSpan w:val="3"/>
                  <w:shd w:val="clear" w:color="auto" w:fill="D9D9D9" w:themeFill="background1" w:themeFillShade="D9"/>
                </w:tcPr>
                <w:p w14:paraId="51B7BA3F" w14:textId="77777777" w:rsidR="00952368" w:rsidRPr="006C5B34" w:rsidRDefault="00952368" w:rsidP="00805113">
                  <w:pPr>
                    <w:tabs>
                      <w:tab w:val="left" w:pos="7650"/>
                    </w:tabs>
                    <w:jc w:val="center"/>
                    <w:rPr>
                      <w:rFonts w:asciiTheme="majorHAnsi" w:hAnsiTheme="majorHAnsi"/>
                      <w:b/>
                      <w:sz w:val="22"/>
                      <w:szCs w:val="22"/>
                      <w:u w:val="single"/>
                    </w:rPr>
                  </w:pPr>
                  <w:r w:rsidRPr="006C5B34">
                    <w:rPr>
                      <w:rFonts w:asciiTheme="majorHAnsi" w:hAnsiTheme="majorHAnsi"/>
                      <w:b/>
                      <w:sz w:val="22"/>
                      <w:szCs w:val="22"/>
                      <w:u w:val="single"/>
                    </w:rPr>
                    <w:t>State Title I Committee of Practitioners Agenda</w:t>
                  </w:r>
                </w:p>
                <w:p w14:paraId="1070E263" w14:textId="649513B7" w:rsidR="00952368" w:rsidRPr="006C5B34" w:rsidRDefault="006353D3" w:rsidP="00805113">
                  <w:pPr>
                    <w:jc w:val="center"/>
                    <w:rPr>
                      <w:rFonts w:asciiTheme="majorHAnsi" w:hAnsiTheme="majorHAnsi"/>
                      <w:sz w:val="22"/>
                      <w:szCs w:val="22"/>
                    </w:rPr>
                  </w:pPr>
                  <w:r w:rsidRPr="006C5B34">
                    <w:rPr>
                      <w:rFonts w:asciiTheme="majorHAnsi" w:hAnsiTheme="majorHAnsi"/>
                      <w:sz w:val="22"/>
                      <w:szCs w:val="22"/>
                    </w:rPr>
                    <w:t>Thursday</w:t>
                  </w:r>
                  <w:r w:rsidR="00B311D4" w:rsidRPr="006C5B34">
                    <w:rPr>
                      <w:rFonts w:asciiTheme="majorHAnsi" w:hAnsiTheme="majorHAnsi"/>
                      <w:sz w:val="22"/>
                      <w:szCs w:val="22"/>
                    </w:rPr>
                    <w:t xml:space="preserve">, </w:t>
                  </w:r>
                  <w:r w:rsidR="004D1068">
                    <w:rPr>
                      <w:rFonts w:asciiTheme="majorHAnsi" w:hAnsiTheme="majorHAnsi"/>
                      <w:sz w:val="22"/>
                      <w:szCs w:val="22"/>
                    </w:rPr>
                    <w:t>August 17</w:t>
                  </w:r>
                  <w:r w:rsidR="00C25D76">
                    <w:rPr>
                      <w:rFonts w:asciiTheme="majorHAnsi" w:hAnsiTheme="majorHAnsi"/>
                      <w:sz w:val="22"/>
                      <w:szCs w:val="22"/>
                    </w:rPr>
                    <w:t>, 2017</w:t>
                  </w:r>
                </w:p>
                <w:p w14:paraId="55A9A384" w14:textId="27FE7E61" w:rsidR="00952368" w:rsidRPr="006C5B34" w:rsidRDefault="003B2BA0" w:rsidP="00805113">
                  <w:pPr>
                    <w:jc w:val="center"/>
                    <w:rPr>
                      <w:rFonts w:asciiTheme="majorHAnsi" w:hAnsiTheme="majorHAnsi"/>
                      <w:sz w:val="22"/>
                      <w:szCs w:val="22"/>
                    </w:rPr>
                  </w:pPr>
                  <w:r w:rsidRPr="006C5B34">
                    <w:rPr>
                      <w:rFonts w:asciiTheme="majorHAnsi" w:hAnsiTheme="majorHAnsi"/>
                      <w:sz w:val="22"/>
                      <w:szCs w:val="22"/>
                    </w:rPr>
                    <w:t>4–6:3</w:t>
                  </w:r>
                  <w:r w:rsidR="00AA5BEB" w:rsidRPr="006C5B34">
                    <w:rPr>
                      <w:rFonts w:asciiTheme="majorHAnsi" w:hAnsiTheme="majorHAnsi"/>
                      <w:sz w:val="22"/>
                      <w:szCs w:val="22"/>
                    </w:rPr>
                    <w:t>0</w:t>
                  </w:r>
                  <w:r w:rsidR="00952368" w:rsidRPr="006C5B34">
                    <w:rPr>
                      <w:rFonts w:asciiTheme="majorHAnsi" w:hAnsiTheme="majorHAnsi"/>
                      <w:sz w:val="22"/>
                      <w:szCs w:val="22"/>
                    </w:rPr>
                    <w:t xml:space="preserve"> p.m.</w:t>
                  </w:r>
                </w:p>
                <w:p w14:paraId="67F2D797" w14:textId="522D72E3" w:rsidR="00952368" w:rsidRPr="006C5B34" w:rsidRDefault="0045365E" w:rsidP="007B70BD">
                  <w:pPr>
                    <w:tabs>
                      <w:tab w:val="left" w:pos="7650"/>
                    </w:tabs>
                    <w:jc w:val="center"/>
                    <w:rPr>
                      <w:rFonts w:asciiTheme="majorHAnsi" w:hAnsiTheme="majorHAnsi"/>
                      <w:b/>
                      <w:sz w:val="22"/>
                      <w:szCs w:val="22"/>
                      <w:u w:val="single"/>
                    </w:rPr>
                  </w:pPr>
                  <w:r>
                    <w:rPr>
                      <w:rFonts w:asciiTheme="majorHAnsi" w:hAnsiTheme="majorHAnsi"/>
                      <w:sz w:val="22"/>
                      <w:szCs w:val="22"/>
                    </w:rPr>
                    <w:t>4</w:t>
                  </w:r>
                  <w:r w:rsidR="00C25D76" w:rsidRPr="00C25D76">
                    <w:rPr>
                      <w:rFonts w:asciiTheme="majorHAnsi" w:hAnsiTheme="majorHAnsi"/>
                      <w:sz w:val="22"/>
                      <w:szCs w:val="22"/>
                      <w:vertAlign w:val="superscript"/>
                    </w:rPr>
                    <w:t>th</w:t>
                  </w:r>
                  <w:r w:rsidR="00DB0B92">
                    <w:rPr>
                      <w:rFonts w:asciiTheme="majorHAnsi" w:hAnsiTheme="majorHAnsi"/>
                      <w:sz w:val="22"/>
                      <w:szCs w:val="22"/>
                    </w:rPr>
                    <w:t xml:space="preserve"> Floor – Room 40</w:t>
                  </w:r>
                  <w:r w:rsidR="007B70BD">
                    <w:rPr>
                      <w:rFonts w:asciiTheme="majorHAnsi" w:hAnsiTheme="majorHAnsi"/>
                      <w:sz w:val="22"/>
                      <w:szCs w:val="22"/>
                    </w:rPr>
                    <w:t>0</w:t>
                  </w:r>
                  <w:r w:rsidR="00DB0B92">
                    <w:rPr>
                      <w:rFonts w:asciiTheme="majorHAnsi" w:hAnsiTheme="majorHAnsi"/>
                      <w:sz w:val="22"/>
                      <w:szCs w:val="22"/>
                    </w:rPr>
                    <w:t>2</w:t>
                  </w:r>
                </w:p>
              </w:tc>
            </w:tr>
            <w:tr w:rsidR="00952368" w:rsidRPr="00FF6F92" w14:paraId="4EF98E6F" w14:textId="77777777" w:rsidTr="005F1A25">
              <w:trPr>
                <w:trHeight w:val="395"/>
              </w:trPr>
              <w:tc>
                <w:tcPr>
                  <w:tcW w:w="1435" w:type="dxa"/>
                  <w:shd w:val="clear" w:color="auto" w:fill="D9D9D9" w:themeFill="background1" w:themeFillShade="D9"/>
                  <w:vAlign w:val="center"/>
                </w:tcPr>
                <w:p w14:paraId="0F9D0503" w14:textId="77777777" w:rsidR="00952368" w:rsidRPr="006C5B34" w:rsidRDefault="00952368" w:rsidP="00805113">
                  <w:pPr>
                    <w:tabs>
                      <w:tab w:val="left" w:pos="2160"/>
                      <w:tab w:val="left" w:pos="2790"/>
                    </w:tabs>
                    <w:jc w:val="center"/>
                    <w:rPr>
                      <w:rFonts w:asciiTheme="majorHAnsi" w:hAnsiTheme="majorHAnsi"/>
                      <w:b/>
                      <w:sz w:val="22"/>
                      <w:szCs w:val="22"/>
                      <w:u w:val="single"/>
                    </w:rPr>
                  </w:pPr>
                  <w:r w:rsidRPr="006C5B34">
                    <w:rPr>
                      <w:rFonts w:asciiTheme="majorHAnsi" w:hAnsiTheme="majorHAnsi"/>
                      <w:b/>
                      <w:sz w:val="22"/>
                      <w:szCs w:val="22"/>
                      <w:u w:val="single"/>
                    </w:rPr>
                    <w:t>Time</w:t>
                  </w:r>
                </w:p>
              </w:tc>
              <w:tc>
                <w:tcPr>
                  <w:tcW w:w="6030" w:type="dxa"/>
                  <w:shd w:val="clear" w:color="auto" w:fill="D9D9D9" w:themeFill="background1" w:themeFillShade="D9"/>
                </w:tcPr>
                <w:p w14:paraId="15D60C53" w14:textId="77777777" w:rsidR="00952368" w:rsidRPr="006C5B34" w:rsidRDefault="00952368" w:rsidP="00805113">
                  <w:pPr>
                    <w:tabs>
                      <w:tab w:val="left" w:pos="1800"/>
                    </w:tabs>
                    <w:jc w:val="center"/>
                    <w:rPr>
                      <w:rFonts w:asciiTheme="majorHAnsi" w:hAnsiTheme="majorHAnsi"/>
                      <w:b/>
                      <w:sz w:val="22"/>
                      <w:szCs w:val="22"/>
                      <w:u w:val="single"/>
                    </w:rPr>
                  </w:pPr>
                  <w:r w:rsidRPr="006C5B34">
                    <w:rPr>
                      <w:rFonts w:asciiTheme="majorHAnsi" w:hAnsiTheme="majorHAnsi"/>
                      <w:b/>
                      <w:sz w:val="22"/>
                      <w:szCs w:val="22"/>
                      <w:u w:val="single"/>
                    </w:rPr>
                    <w:t>Topic of Discussion</w:t>
                  </w:r>
                </w:p>
              </w:tc>
              <w:tc>
                <w:tcPr>
                  <w:tcW w:w="1890" w:type="dxa"/>
                  <w:shd w:val="clear" w:color="auto" w:fill="D9D9D9" w:themeFill="background1" w:themeFillShade="D9"/>
                </w:tcPr>
                <w:p w14:paraId="4FA38386" w14:textId="00E6A441" w:rsidR="00952368" w:rsidRPr="006C5B34" w:rsidRDefault="00952368" w:rsidP="00805113">
                  <w:pPr>
                    <w:tabs>
                      <w:tab w:val="left" w:pos="1800"/>
                    </w:tabs>
                    <w:jc w:val="center"/>
                    <w:rPr>
                      <w:rFonts w:asciiTheme="majorHAnsi" w:hAnsiTheme="majorHAnsi"/>
                      <w:b/>
                      <w:sz w:val="22"/>
                      <w:szCs w:val="22"/>
                      <w:u w:val="single"/>
                    </w:rPr>
                  </w:pPr>
                  <w:r w:rsidRPr="006C5B34">
                    <w:rPr>
                      <w:rFonts w:asciiTheme="majorHAnsi" w:hAnsiTheme="majorHAnsi"/>
                      <w:b/>
                      <w:sz w:val="22"/>
                      <w:szCs w:val="22"/>
                      <w:u w:val="single"/>
                    </w:rPr>
                    <w:t>Facilitator</w:t>
                  </w:r>
                </w:p>
              </w:tc>
            </w:tr>
            <w:tr w:rsidR="00C25D76" w:rsidRPr="00FF6F92" w14:paraId="7CA0AD25" w14:textId="77777777" w:rsidTr="005F1A25">
              <w:trPr>
                <w:trHeight w:val="1333"/>
              </w:trPr>
              <w:tc>
                <w:tcPr>
                  <w:tcW w:w="1435" w:type="dxa"/>
                  <w:vAlign w:val="center"/>
                </w:tcPr>
                <w:p w14:paraId="60350C81" w14:textId="14E3277E" w:rsidR="00C25D76" w:rsidRPr="006C5B34" w:rsidRDefault="00C25D76" w:rsidP="00D368F4">
                  <w:pPr>
                    <w:tabs>
                      <w:tab w:val="left" w:pos="2160"/>
                      <w:tab w:val="left" w:pos="2790"/>
                    </w:tabs>
                    <w:jc w:val="center"/>
                    <w:rPr>
                      <w:rFonts w:asciiTheme="majorHAnsi" w:hAnsiTheme="majorHAnsi"/>
                      <w:b/>
                      <w:sz w:val="22"/>
                      <w:szCs w:val="22"/>
                    </w:rPr>
                  </w:pPr>
                  <w:r w:rsidRPr="006C5B34">
                    <w:rPr>
                      <w:rFonts w:asciiTheme="majorHAnsi" w:hAnsiTheme="majorHAnsi"/>
                      <w:b/>
                      <w:sz w:val="22"/>
                      <w:szCs w:val="22"/>
                    </w:rPr>
                    <w:t>4</w:t>
                  </w:r>
                  <w:r w:rsidR="00D368F4">
                    <w:rPr>
                      <w:rFonts w:asciiTheme="majorHAnsi" w:hAnsiTheme="majorHAnsi"/>
                      <w:b/>
                      <w:sz w:val="22"/>
                      <w:szCs w:val="22"/>
                    </w:rPr>
                    <w:t>:00</w:t>
                  </w:r>
                  <w:r w:rsidRPr="006C5B34">
                    <w:rPr>
                      <w:rFonts w:asciiTheme="majorHAnsi" w:hAnsiTheme="majorHAnsi"/>
                      <w:b/>
                      <w:sz w:val="22"/>
                      <w:szCs w:val="22"/>
                    </w:rPr>
                    <w:t xml:space="preserve"> </w:t>
                  </w:r>
                  <w:r w:rsidR="00830FD8">
                    <w:rPr>
                      <w:rFonts w:asciiTheme="majorHAnsi" w:hAnsiTheme="majorHAnsi"/>
                      <w:b/>
                      <w:sz w:val="22"/>
                      <w:szCs w:val="22"/>
                    </w:rPr>
                    <w:t xml:space="preserve">- </w:t>
                  </w:r>
                  <w:r w:rsidRPr="006C5B34">
                    <w:rPr>
                      <w:rFonts w:asciiTheme="majorHAnsi" w:hAnsiTheme="majorHAnsi"/>
                      <w:b/>
                      <w:sz w:val="22"/>
                      <w:szCs w:val="22"/>
                    </w:rPr>
                    <w:t>4:</w:t>
                  </w:r>
                  <w:r w:rsidR="0068599D">
                    <w:rPr>
                      <w:rFonts w:asciiTheme="majorHAnsi" w:hAnsiTheme="majorHAnsi"/>
                      <w:b/>
                      <w:sz w:val="22"/>
                      <w:szCs w:val="22"/>
                    </w:rPr>
                    <w:t>10</w:t>
                  </w:r>
                  <w:r w:rsidR="00D368F4">
                    <w:rPr>
                      <w:rFonts w:asciiTheme="majorHAnsi" w:hAnsiTheme="majorHAnsi"/>
                      <w:b/>
                      <w:sz w:val="22"/>
                      <w:szCs w:val="22"/>
                    </w:rPr>
                    <w:t>pm</w:t>
                  </w:r>
                </w:p>
              </w:tc>
              <w:tc>
                <w:tcPr>
                  <w:tcW w:w="6030" w:type="dxa"/>
                  <w:vAlign w:val="center"/>
                </w:tcPr>
                <w:p w14:paraId="7B567C64" w14:textId="77777777" w:rsidR="00C25D76" w:rsidRPr="006C5B34" w:rsidRDefault="00C25D76" w:rsidP="00C25D76">
                  <w:pPr>
                    <w:tabs>
                      <w:tab w:val="left" w:pos="2160"/>
                      <w:tab w:val="left" w:pos="2790"/>
                    </w:tabs>
                    <w:rPr>
                      <w:rFonts w:asciiTheme="majorHAnsi" w:hAnsiTheme="majorHAnsi"/>
                      <w:b/>
                      <w:sz w:val="22"/>
                      <w:szCs w:val="22"/>
                    </w:rPr>
                  </w:pPr>
                  <w:r w:rsidRPr="006C5B34">
                    <w:rPr>
                      <w:rFonts w:asciiTheme="majorHAnsi" w:hAnsiTheme="majorHAnsi"/>
                      <w:b/>
                      <w:sz w:val="22"/>
                      <w:szCs w:val="22"/>
                    </w:rPr>
                    <w:t>Opening</w:t>
                  </w:r>
                </w:p>
                <w:p w14:paraId="3FEF096E" w14:textId="77777777" w:rsidR="00C25D76" w:rsidRPr="006C5B34" w:rsidRDefault="00C25D76" w:rsidP="00C25D76">
                  <w:pPr>
                    <w:pStyle w:val="ListParagraph"/>
                    <w:numPr>
                      <w:ilvl w:val="0"/>
                      <w:numId w:val="5"/>
                    </w:numPr>
                    <w:tabs>
                      <w:tab w:val="left" w:pos="2160"/>
                      <w:tab w:val="left" w:pos="2790"/>
                    </w:tabs>
                    <w:rPr>
                      <w:rFonts w:asciiTheme="majorHAnsi" w:hAnsiTheme="majorHAnsi"/>
                    </w:rPr>
                  </w:pPr>
                  <w:r w:rsidRPr="006C5B34">
                    <w:rPr>
                      <w:rFonts w:asciiTheme="majorHAnsi" w:hAnsiTheme="majorHAnsi"/>
                    </w:rPr>
                    <w:t>Call to Order</w:t>
                  </w:r>
                </w:p>
                <w:p w14:paraId="4F2E848C" w14:textId="77777777" w:rsidR="006255E2" w:rsidRDefault="006255E2" w:rsidP="00DB0B92">
                  <w:pPr>
                    <w:pStyle w:val="ListParagraph"/>
                    <w:numPr>
                      <w:ilvl w:val="0"/>
                      <w:numId w:val="5"/>
                    </w:numPr>
                    <w:tabs>
                      <w:tab w:val="left" w:pos="2160"/>
                      <w:tab w:val="left" w:pos="2790"/>
                    </w:tabs>
                    <w:rPr>
                      <w:rFonts w:asciiTheme="majorHAnsi" w:hAnsiTheme="majorHAnsi"/>
                    </w:rPr>
                  </w:pPr>
                  <w:r w:rsidRPr="006C5B34">
                    <w:rPr>
                      <w:rFonts w:asciiTheme="majorHAnsi" w:hAnsiTheme="majorHAnsi"/>
                    </w:rPr>
                    <w:t>Review of Agenda</w:t>
                  </w:r>
                </w:p>
                <w:p w14:paraId="3EB9E07A" w14:textId="77777777" w:rsidR="00446602" w:rsidRDefault="00446602" w:rsidP="00446602">
                  <w:pPr>
                    <w:tabs>
                      <w:tab w:val="left" w:pos="2160"/>
                      <w:tab w:val="left" w:pos="2790"/>
                    </w:tabs>
                    <w:rPr>
                      <w:rFonts w:asciiTheme="majorHAnsi" w:hAnsiTheme="majorHAnsi"/>
                    </w:rPr>
                  </w:pPr>
                </w:p>
                <w:p w14:paraId="0E4AC49F" w14:textId="77777777" w:rsidR="00446602" w:rsidRDefault="00446602" w:rsidP="00446602">
                  <w:pPr>
                    <w:tabs>
                      <w:tab w:val="left" w:pos="2160"/>
                      <w:tab w:val="left" w:pos="2790"/>
                    </w:tabs>
                    <w:rPr>
                      <w:rFonts w:asciiTheme="majorHAnsi" w:hAnsiTheme="majorHAnsi"/>
                    </w:rPr>
                  </w:pPr>
                  <w:r>
                    <w:rPr>
                      <w:rFonts w:asciiTheme="majorHAnsi" w:hAnsiTheme="majorHAnsi"/>
                    </w:rPr>
                    <w:t xml:space="preserve">The meeting was called to order at 4:00 by Adjoa.  </w:t>
                  </w:r>
                </w:p>
                <w:p w14:paraId="0C7091F4" w14:textId="77777777" w:rsidR="00446602" w:rsidRDefault="00446602" w:rsidP="00446602">
                  <w:pPr>
                    <w:tabs>
                      <w:tab w:val="left" w:pos="2160"/>
                      <w:tab w:val="left" w:pos="2790"/>
                    </w:tabs>
                    <w:rPr>
                      <w:rFonts w:asciiTheme="majorHAnsi" w:hAnsiTheme="majorHAnsi"/>
                    </w:rPr>
                  </w:pPr>
                </w:p>
                <w:p w14:paraId="6BE0B460" w14:textId="6565C62D" w:rsidR="00446602" w:rsidRDefault="00446602" w:rsidP="00446602">
                  <w:pPr>
                    <w:tabs>
                      <w:tab w:val="left" w:pos="2160"/>
                      <w:tab w:val="left" w:pos="2790"/>
                    </w:tabs>
                    <w:rPr>
                      <w:rFonts w:asciiTheme="majorHAnsi" w:hAnsiTheme="majorHAnsi"/>
                    </w:rPr>
                  </w:pPr>
                  <w:r>
                    <w:rPr>
                      <w:rFonts w:asciiTheme="majorHAnsi" w:hAnsiTheme="majorHAnsi"/>
                    </w:rPr>
                    <w:t>Members in attendance included:</w:t>
                  </w:r>
                </w:p>
                <w:p w14:paraId="6B902E71" w14:textId="77777777" w:rsidR="00446602" w:rsidRDefault="00446602" w:rsidP="00446602">
                  <w:pPr>
                    <w:tabs>
                      <w:tab w:val="left" w:pos="2160"/>
                      <w:tab w:val="left" w:pos="2790"/>
                    </w:tabs>
                    <w:rPr>
                      <w:rFonts w:asciiTheme="majorHAnsi" w:hAnsiTheme="majorHAnsi"/>
                    </w:rPr>
                  </w:pPr>
                  <w:r>
                    <w:rPr>
                      <w:rFonts w:asciiTheme="majorHAnsi" w:hAnsiTheme="majorHAnsi"/>
                    </w:rPr>
                    <w:t>Adjoa Asamoah, Alexa Bernard, Brian Radziwill, Ina Slaughter, Justin Good, Karen Dresden, Kimyana Johnson, Kortni Stafford, Linda Garoute, Robin Chait, Shakira Hemphill, and Winston Cox.</w:t>
                  </w:r>
                </w:p>
                <w:p w14:paraId="1B39475D" w14:textId="77777777" w:rsidR="00446602" w:rsidRDefault="00446602" w:rsidP="00446602">
                  <w:pPr>
                    <w:tabs>
                      <w:tab w:val="left" w:pos="2160"/>
                      <w:tab w:val="left" w:pos="2790"/>
                    </w:tabs>
                    <w:rPr>
                      <w:rFonts w:asciiTheme="majorHAnsi" w:hAnsiTheme="majorHAnsi"/>
                    </w:rPr>
                  </w:pPr>
                </w:p>
                <w:p w14:paraId="6E2DA167" w14:textId="39ECC53E" w:rsidR="00446602" w:rsidRPr="00446602" w:rsidRDefault="00446602" w:rsidP="00446602">
                  <w:pPr>
                    <w:tabs>
                      <w:tab w:val="left" w:pos="2160"/>
                      <w:tab w:val="left" w:pos="2790"/>
                    </w:tabs>
                    <w:rPr>
                      <w:rFonts w:asciiTheme="majorHAnsi" w:hAnsiTheme="majorHAnsi"/>
                    </w:rPr>
                  </w:pPr>
                  <w:r>
                    <w:rPr>
                      <w:rFonts w:asciiTheme="majorHAnsi" w:hAnsiTheme="majorHAnsi"/>
                    </w:rPr>
                    <w:t>The committee reviewed the agenda and it was accepted as written.</w:t>
                  </w:r>
                </w:p>
              </w:tc>
              <w:tc>
                <w:tcPr>
                  <w:tcW w:w="1890" w:type="dxa"/>
                  <w:vAlign w:val="center"/>
                </w:tcPr>
                <w:p w14:paraId="4020B7F4" w14:textId="74F1713E" w:rsidR="00C25D76" w:rsidRPr="006C5B34" w:rsidRDefault="00C25D76" w:rsidP="00C25D76">
                  <w:pPr>
                    <w:tabs>
                      <w:tab w:val="left" w:pos="2160"/>
                      <w:tab w:val="left" w:pos="2790"/>
                    </w:tabs>
                    <w:jc w:val="center"/>
                    <w:rPr>
                      <w:rFonts w:asciiTheme="majorHAnsi" w:hAnsiTheme="majorHAnsi"/>
                      <w:b/>
                      <w:sz w:val="22"/>
                      <w:szCs w:val="22"/>
                    </w:rPr>
                  </w:pPr>
                  <w:r w:rsidRPr="006C5B34">
                    <w:rPr>
                      <w:rFonts w:asciiTheme="majorHAnsi" w:hAnsiTheme="majorHAnsi"/>
                      <w:b/>
                      <w:sz w:val="22"/>
                      <w:szCs w:val="22"/>
                    </w:rPr>
                    <w:t>Adjoa Asamoah</w:t>
                  </w:r>
                  <w:r w:rsidR="00FC41FC">
                    <w:rPr>
                      <w:rFonts w:asciiTheme="majorHAnsi" w:hAnsiTheme="majorHAnsi"/>
                      <w:b/>
                      <w:sz w:val="22"/>
                      <w:szCs w:val="22"/>
                    </w:rPr>
                    <w:t xml:space="preserve"> Chair</w:t>
                  </w:r>
                </w:p>
                <w:p w14:paraId="6795E5E0" w14:textId="77777777" w:rsidR="00C25D76" w:rsidRPr="006C5B34" w:rsidRDefault="00C25D76" w:rsidP="00805113">
                  <w:pPr>
                    <w:tabs>
                      <w:tab w:val="left" w:pos="2160"/>
                      <w:tab w:val="left" w:pos="2790"/>
                    </w:tabs>
                    <w:jc w:val="center"/>
                    <w:rPr>
                      <w:rFonts w:asciiTheme="majorHAnsi" w:hAnsiTheme="majorHAnsi"/>
                      <w:b/>
                      <w:sz w:val="22"/>
                      <w:szCs w:val="22"/>
                    </w:rPr>
                  </w:pPr>
                </w:p>
              </w:tc>
            </w:tr>
            <w:tr w:rsidR="00830FD8" w:rsidRPr="00FF6F92" w14:paraId="3AC7DB88" w14:textId="77777777" w:rsidTr="005F1A25">
              <w:trPr>
                <w:trHeight w:val="1333"/>
              </w:trPr>
              <w:tc>
                <w:tcPr>
                  <w:tcW w:w="1435" w:type="dxa"/>
                  <w:vAlign w:val="center"/>
                </w:tcPr>
                <w:p w14:paraId="0288ACAB" w14:textId="61902A62" w:rsidR="00830FD8" w:rsidRPr="006C5B34" w:rsidRDefault="0068599D" w:rsidP="00D368F4">
                  <w:pPr>
                    <w:tabs>
                      <w:tab w:val="left" w:pos="2160"/>
                      <w:tab w:val="left" w:pos="2790"/>
                    </w:tabs>
                    <w:jc w:val="center"/>
                    <w:rPr>
                      <w:rFonts w:asciiTheme="majorHAnsi" w:hAnsiTheme="majorHAnsi"/>
                      <w:b/>
                      <w:sz w:val="22"/>
                      <w:szCs w:val="22"/>
                    </w:rPr>
                  </w:pPr>
                  <w:r>
                    <w:rPr>
                      <w:rFonts w:asciiTheme="majorHAnsi" w:hAnsiTheme="majorHAnsi"/>
                      <w:b/>
                      <w:sz w:val="22"/>
                      <w:szCs w:val="22"/>
                    </w:rPr>
                    <w:t>4:10 – 4:20</w:t>
                  </w:r>
                  <w:r w:rsidR="00830FD8">
                    <w:rPr>
                      <w:rFonts w:asciiTheme="majorHAnsi" w:hAnsiTheme="majorHAnsi"/>
                      <w:b/>
                      <w:sz w:val="22"/>
                      <w:szCs w:val="22"/>
                    </w:rPr>
                    <w:t>pm</w:t>
                  </w:r>
                </w:p>
              </w:tc>
              <w:tc>
                <w:tcPr>
                  <w:tcW w:w="6030" w:type="dxa"/>
                  <w:vAlign w:val="center"/>
                </w:tcPr>
                <w:p w14:paraId="4979B787" w14:textId="77777777" w:rsidR="00830FD8" w:rsidRDefault="00830FD8" w:rsidP="00830FD8">
                  <w:pPr>
                    <w:tabs>
                      <w:tab w:val="left" w:pos="2160"/>
                      <w:tab w:val="left" w:pos="2790"/>
                    </w:tabs>
                    <w:rPr>
                      <w:rFonts w:asciiTheme="majorHAnsi" w:hAnsiTheme="majorHAnsi"/>
                      <w:b/>
                      <w:sz w:val="22"/>
                      <w:szCs w:val="22"/>
                    </w:rPr>
                  </w:pPr>
                </w:p>
                <w:p w14:paraId="5D829EA4" w14:textId="77777777" w:rsidR="00830FD8" w:rsidRPr="006C5B34" w:rsidRDefault="00830FD8" w:rsidP="00830FD8">
                  <w:pPr>
                    <w:tabs>
                      <w:tab w:val="left" w:pos="2160"/>
                      <w:tab w:val="left" w:pos="2790"/>
                    </w:tabs>
                    <w:rPr>
                      <w:rFonts w:asciiTheme="majorHAnsi" w:hAnsiTheme="majorHAnsi"/>
                      <w:b/>
                      <w:sz w:val="22"/>
                      <w:szCs w:val="22"/>
                    </w:rPr>
                  </w:pPr>
                  <w:r>
                    <w:rPr>
                      <w:rFonts w:asciiTheme="majorHAnsi" w:hAnsiTheme="majorHAnsi"/>
                      <w:b/>
                      <w:sz w:val="22"/>
                      <w:szCs w:val="22"/>
                    </w:rPr>
                    <w:t>Committee Business:</w:t>
                  </w:r>
                </w:p>
                <w:p w14:paraId="770CE94B" w14:textId="1EA99EDD" w:rsidR="00830FD8" w:rsidRPr="00830FD8" w:rsidRDefault="00830FD8" w:rsidP="00830FD8">
                  <w:pPr>
                    <w:pStyle w:val="ListParagraph"/>
                    <w:numPr>
                      <w:ilvl w:val="0"/>
                      <w:numId w:val="2"/>
                    </w:numPr>
                    <w:tabs>
                      <w:tab w:val="left" w:pos="2160"/>
                      <w:tab w:val="left" w:pos="2790"/>
                    </w:tabs>
                    <w:rPr>
                      <w:rFonts w:asciiTheme="majorHAnsi" w:hAnsiTheme="majorHAnsi"/>
                    </w:rPr>
                  </w:pPr>
                  <w:r w:rsidRPr="00830FD8">
                    <w:rPr>
                      <w:rFonts w:asciiTheme="majorHAnsi" w:hAnsiTheme="majorHAnsi"/>
                    </w:rPr>
                    <w:t>Ap</w:t>
                  </w:r>
                  <w:r w:rsidR="0068599D">
                    <w:rPr>
                      <w:rFonts w:asciiTheme="majorHAnsi" w:hAnsiTheme="majorHAnsi"/>
                    </w:rPr>
                    <w:t>proval of Minutes from May 1</w:t>
                  </w:r>
                  <w:r w:rsidR="00FA736E">
                    <w:rPr>
                      <w:rFonts w:asciiTheme="majorHAnsi" w:hAnsiTheme="majorHAnsi"/>
                    </w:rPr>
                    <w:t>8</w:t>
                  </w:r>
                  <w:r w:rsidRPr="00830FD8">
                    <w:rPr>
                      <w:rFonts w:asciiTheme="majorHAnsi" w:hAnsiTheme="majorHAnsi"/>
                    </w:rPr>
                    <w:t>, 2017</w:t>
                  </w:r>
                </w:p>
                <w:p w14:paraId="7B9B1799" w14:textId="77777777" w:rsidR="00830FD8" w:rsidRDefault="00830FD8" w:rsidP="0068599D">
                  <w:pPr>
                    <w:pStyle w:val="ListParagraph"/>
                    <w:tabs>
                      <w:tab w:val="left" w:pos="2160"/>
                      <w:tab w:val="left" w:pos="2790"/>
                    </w:tabs>
                    <w:rPr>
                      <w:rFonts w:asciiTheme="majorHAnsi" w:hAnsiTheme="majorHAnsi"/>
                    </w:rPr>
                  </w:pPr>
                </w:p>
                <w:p w14:paraId="5054C4F5" w14:textId="01A43012" w:rsidR="00446602" w:rsidRPr="00446602" w:rsidRDefault="00446602" w:rsidP="00446602">
                  <w:pPr>
                    <w:tabs>
                      <w:tab w:val="left" w:pos="2160"/>
                      <w:tab w:val="left" w:pos="2790"/>
                    </w:tabs>
                    <w:rPr>
                      <w:rFonts w:asciiTheme="majorHAnsi" w:hAnsiTheme="majorHAnsi"/>
                    </w:rPr>
                  </w:pPr>
                  <w:r>
                    <w:rPr>
                      <w:rFonts w:asciiTheme="majorHAnsi" w:hAnsiTheme="majorHAnsi"/>
                    </w:rPr>
                    <w:t>The committee reviewed minutes from the 05/18/17 meeting.  A motion was made, seconded, and the minutes were accepted as written.</w:t>
                  </w:r>
                </w:p>
              </w:tc>
              <w:tc>
                <w:tcPr>
                  <w:tcW w:w="1890" w:type="dxa"/>
                  <w:vAlign w:val="center"/>
                </w:tcPr>
                <w:p w14:paraId="50DD167A" w14:textId="77777777" w:rsidR="00830FD8" w:rsidRPr="006C5B34" w:rsidRDefault="00830FD8" w:rsidP="00830FD8">
                  <w:pPr>
                    <w:tabs>
                      <w:tab w:val="left" w:pos="2160"/>
                      <w:tab w:val="left" w:pos="2790"/>
                    </w:tabs>
                    <w:jc w:val="center"/>
                    <w:rPr>
                      <w:rFonts w:asciiTheme="majorHAnsi" w:hAnsiTheme="majorHAnsi"/>
                      <w:b/>
                      <w:sz w:val="22"/>
                      <w:szCs w:val="22"/>
                    </w:rPr>
                  </w:pPr>
                  <w:r w:rsidRPr="006C5B34">
                    <w:rPr>
                      <w:rFonts w:asciiTheme="majorHAnsi" w:hAnsiTheme="majorHAnsi"/>
                      <w:b/>
                      <w:sz w:val="22"/>
                      <w:szCs w:val="22"/>
                    </w:rPr>
                    <w:t>Adjoa Asamoah</w:t>
                  </w:r>
                </w:p>
                <w:p w14:paraId="5F14C49E" w14:textId="4CB43451" w:rsidR="00830FD8" w:rsidRPr="006C5B34" w:rsidRDefault="00830FD8" w:rsidP="00830FD8">
                  <w:pPr>
                    <w:tabs>
                      <w:tab w:val="left" w:pos="2160"/>
                      <w:tab w:val="left" w:pos="2790"/>
                    </w:tabs>
                    <w:jc w:val="center"/>
                    <w:rPr>
                      <w:rFonts w:asciiTheme="majorHAnsi" w:hAnsiTheme="majorHAnsi"/>
                      <w:b/>
                      <w:sz w:val="22"/>
                      <w:szCs w:val="22"/>
                    </w:rPr>
                  </w:pPr>
                  <w:r>
                    <w:rPr>
                      <w:rFonts w:asciiTheme="majorHAnsi" w:hAnsiTheme="majorHAnsi"/>
                      <w:b/>
                      <w:sz w:val="22"/>
                      <w:szCs w:val="22"/>
                    </w:rPr>
                    <w:t>Chair</w:t>
                  </w:r>
                </w:p>
              </w:tc>
            </w:tr>
            <w:tr w:rsidR="00952368" w:rsidRPr="00FF6F92" w14:paraId="112ADB66" w14:textId="77777777" w:rsidTr="005F1A25">
              <w:trPr>
                <w:trHeight w:val="1342"/>
              </w:trPr>
              <w:tc>
                <w:tcPr>
                  <w:tcW w:w="1435" w:type="dxa"/>
                  <w:vAlign w:val="center"/>
                </w:tcPr>
                <w:p w14:paraId="56DA2199" w14:textId="0F5622D2" w:rsidR="00952368" w:rsidRPr="006C5B34" w:rsidRDefault="0068599D" w:rsidP="007103BE">
                  <w:pPr>
                    <w:tabs>
                      <w:tab w:val="left" w:pos="2160"/>
                      <w:tab w:val="left" w:pos="2790"/>
                    </w:tabs>
                    <w:jc w:val="center"/>
                    <w:rPr>
                      <w:rFonts w:asciiTheme="majorHAnsi" w:hAnsiTheme="majorHAnsi"/>
                      <w:b/>
                      <w:sz w:val="22"/>
                      <w:szCs w:val="22"/>
                    </w:rPr>
                  </w:pPr>
                  <w:r>
                    <w:rPr>
                      <w:rFonts w:asciiTheme="majorHAnsi" w:hAnsiTheme="majorHAnsi"/>
                      <w:b/>
                      <w:sz w:val="22"/>
                      <w:szCs w:val="22"/>
                    </w:rPr>
                    <w:t>4:20 – 4:50</w:t>
                  </w:r>
                  <w:r w:rsidR="00D368F4">
                    <w:rPr>
                      <w:rFonts w:asciiTheme="majorHAnsi" w:hAnsiTheme="majorHAnsi"/>
                      <w:b/>
                      <w:sz w:val="22"/>
                      <w:szCs w:val="22"/>
                    </w:rPr>
                    <w:t>pm</w:t>
                  </w:r>
                </w:p>
              </w:tc>
              <w:tc>
                <w:tcPr>
                  <w:tcW w:w="6030" w:type="dxa"/>
                  <w:vAlign w:val="center"/>
                </w:tcPr>
                <w:p w14:paraId="06B5139B" w14:textId="41587B5D" w:rsidR="00C25D76" w:rsidRDefault="00DB0B92" w:rsidP="00805113">
                  <w:pPr>
                    <w:tabs>
                      <w:tab w:val="left" w:pos="2160"/>
                      <w:tab w:val="left" w:pos="2790"/>
                    </w:tabs>
                    <w:rPr>
                      <w:rFonts w:asciiTheme="majorHAnsi" w:hAnsiTheme="majorHAnsi"/>
                      <w:b/>
                      <w:sz w:val="22"/>
                      <w:szCs w:val="22"/>
                    </w:rPr>
                  </w:pPr>
                  <w:r>
                    <w:rPr>
                      <w:rFonts w:asciiTheme="majorHAnsi" w:hAnsiTheme="majorHAnsi"/>
                      <w:b/>
                      <w:sz w:val="22"/>
                      <w:szCs w:val="22"/>
                    </w:rPr>
                    <w:t>Next Steps for ESSA</w:t>
                  </w:r>
                </w:p>
                <w:p w14:paraId="2CF991E8" w14:textId="766028BE" w:rsidR="00191ECC" w:rsidRDefault="00FA736E" w:rsidP="00E85E06">
                  <w:pPr>
                    <w:pStyle w:val="ListParagraph"/>
                    <w:numPr>
                      <w:ilvl w:val="0"/>
                      <w:numId w:val="5"/>
                    </w:numPr>
                    <w:tabs>
                      <w:tab w:val="left" w:pos="2160"/>
                      <w:tab w:val="left" w:pos="2790"/>
                    </w:tabs>
                    <w:rPr>
                      <w:rFonts w:asciiTheme="majorHAnsi" w:hAnsiTheme="majorHAnsi"/>
                    </w:rPr>
                  </w:pPr>
                  <w:r>
                    <w:rPr>
                      <w:rFonts w:asciiTheme="majorHAnsi" w:hAnsiTheme="majorHAnsi"/>
                    </w:rPr>
                    <w:t>Update</w:t>
                  </w:r>
                  <w:r w:rsidR="00191ECC" w:rsidRPr="00191ECC">
                    <w:rPr>
                      <w:rFonts w:asciiTheme="majorHAnsi" w:hAnsiTheme="majorHAnsi"/>
                    </w:rPr>
                    <w:t xml:space="preserve">: ED’s feedback on DC’s state plan </w:t>
                  </w:r>
                </w:p>
                <w:p w14:paraId="17DC141A" w14:textId="7D5F4965" w:rsidR="00E85E06" w:rsidRPr="00191ECC" w:rsidRDefault="00E85E06" w:rsidP="00E85E06">
                  <w:pPr>
                    <w:pStyle w:val="ListParagraph"/>
                    <w:numPr>
                      <w:ilvl w:val="0"/>
                      <w:numId w:val="5"/>
                    </w:numPr>
                    <w:tabs>
                      <w:tab w:val="left" w:pos="2160"/>
                      <w:tab w:val="left" w:pos="2790"/>
                    </w:tabs>
                    <w:rPr>
                      <w:rFonts w:asciiTheme="majorHAnsi" w:hAnsiTheme="majorHAnsi"/>
                    </w:rPr>
                  </w:pPr>
                  <w:r w:rsidRPr="00191ECC">
                    <w:rPr>
                      <w:rFonts w:asciiTheme="majorHAnsi" w:hAnsiTheme="majorHAnsi"/>
                    </w:rPr>
                    <w:t>ESSA Guidance Update</w:t>
                  </w:r>
                </w:p>
                <w:p w14:paraId="297C1270" w14:textId="12D4C84E" w:rsidR="00E85E06" w:rsidRDefault="00E85E06" w:rsidP="00E85E06">
                  <w:pPr>
                    <w:tabs>
                      <w:tab w:val="left" w:pos="2160"/>
                      <w:tab w:val="left" w:pos="2790"/>
                    </w:tabs>
                    <w:rPr>
                      <w:rFonts w:asciiTheme="majorHAnsi" w:hAnsiTheme="majorHAnsi"/>
                    </w:rPr>
                  </w:pPr>
                </w:p>
                <w:p w14:paraId="081520CC" w14:textId="3C67D3C5" w:rsidR="00446602" w:rsidRDefault="00AA658F" w:rsidP="00E85E06">
                  <w:pPr>
                    <w:tabs>
                      <w:tab w:val="left" w:pos="2160"/>
                      <w:tab w:val="left" w:pos="2790"/>
                    </w:tabs>
                    <w:rPr>
                      <w:rFonts w:asciiTheme="majorHAnsi" w:hAnsiTheme="majorHAnsi"/>
                    </w:rPr>
                  </w:pPr>
                  <w:r>
                    <w:rPr>
                      <w:rFonts w:asciiTheme="majorHAnsi" w:hAnsiTheme="majorHAnsi"/>
                    </w:rPr>
                    <w:t xml:space="preserve">State Superintendent </w:t>
                  </w:r>
                  <w:r w:rsidR="00446602">
                    <w:rPr>
                      <w:rFonts w:asciiTheme="majorHAnsi" w:hAnsiTheme="majorHAnsi"/>
                    </w:rPr>
                    <w:t xml:space="preserve">Hanseul Kang joined the meeting and shared feedback ED provided regarding the DC state plan for ESSA.  The feedback </w:t>
                  </w:r>
                  <w:r>
                    <w:rPr>
                      <w:rFonts w:asciiTheme="majorHAnsi" w:hAnsiTheme="majorHAnsi"/>
                    </w:rPr>
                    <w:t>is</w:t>
                  </w:r>
                  <w:r w:rsidR="00446602">
                    <w:rPr>
                      <w:rFonts w:asciiTheme="majorHAnsi" w:hAnsiTheme="majorHAnsi"/>
                    </w:rPr>
                    <w:t xml:space="preserve"> available to the public via the ESSA section of the OSSE website</w:t>
                  </w:r>
                  <w:r>
                    <w:rPr>
                      <w:rFonts w:asciiTheme="majorHAnsi" w:hAnsiTheme="majorHAnsi"/>
                    </w:rPr>
                    <w:t xml:space="preserve">, at </w:t>
                  </w:r>
                  <w:hyperlink r:id="rId11" w:history="1">
                    <w:r w:rsidRPr="00522D5E">
                      <w:rPr>
                        <w:rStyle w:val="Hyperlink"/>
                        <w:rFonts w:asciiTheme="majorHAnsi" w:hAnsiTheme="majorHAnsi"/>
                      </w:rPr>
                      <w:t>www.osse.dc.gov/essa</w:t>
                    </w:r>
                  </w:hyperlink>
                  <w:r w:rsidR="00446602">
                    <w:rPr>
                      <w:rFonts w:asciiTheme="majorHAnsi" w:hAnsiTheme="majorHAnsi"/>
                    </w:rPr>
                    <w:t xml:space="preserve">.  The most significant piece of feedback related to the way in which the alternative graduation rate was </w:t>
                  </w:r>
                  <w:r>
                    <w:rPr>
                      <w:rFonts w:asciiTheme="majorHAnsi" w:hAnsiTheme="majorHAnsi"/>
                    </w:rPr>
                    <w:t>calculated</w:t>
                  </w:r>
                  <w:r w:rsidR="00446602">
                    <w:rPr>
                      <w:rFonts w:asciiTheme="majorHAnsi" w:hAnsiTheme="majorHAnsi"/>
                    </w:rPr>
                    <w:t xml:space="preserve"> in the accountability model.  OSSE has revised the plan in accordance with this feedback, moving the alternative graduation rate to </w:t>
                  </w:r>
                  <w:r>
                    <w:rPr>
                      <w:rFonts w:asciiTheme="majorHAnsi" w:hAnsiTheme="majorHAnsi"/>
                    </w:rPr>
                    <w:t xml:space="preserve">the School </w:t>
                  </w:r>
                  <w:r>
                    <w:rPr>
                      <w:rFonts w:asciiTheme="majorHAnsi" w:hAnsiTheme="majorHAnsi"/>
                    </w:rPr>
                    <w:lastRenderedPageBreak/>
                    <w:t xml:space="preserve">Environment </w:t>
                  </w:r>
                  <w:r w:rsidR="00446602">
                    <w:rPr>
                      <w:rFonts w:asciiTheme="majorHAnsi" w:hAnsiTheme="majorHAnsi"/>
                    </w:rPr>
                    <w:t>section of the accountability model, and the plan will be resubmitted for approval.</w:t>
                  </w:r>
                </w:p>
                <w:p w14:paraId="3BCDDE91" w14:textId="77777777" w:rsidR="008A1EAF" w:rsidRDefault="008A1EAF" w:rsidP="00E85E06">
                  <w:pPr>
                    <w:tabs>
                      <w:tab w:val="left" w:pos="2160"/>
                      <w:tab w:val="left" w:pos="2790"/>
                    </w:tabs>
                    <w:rPr>
                      <w:rFonts w:asciiTheme="majorHAnsi" w:hAnsiTheme="majorHAnsi"/>
                    </w:rPr>
                  </w:pPr>
                  <w:bookmarkStart w:id="0" w:name="_GoBack"/>
                  <w:bookmarkEnd w:id="0"/>
                </w:p>
                <w:p w14:paraId="63E024EF" w14:textId="31C12C62" w:rsidR="008A1EAF" w:rsidRDefault="008A1EAF" w:rsidP="00E85E06">
                  <w:pPr>
                    <w:tabs>
                      <w:tab w:val="left" w:pos="2160"/>
                      <w:tab w:val="left" w:pos="2790"/>
                    </w:tabs>
                    <w:rPr>
                      <w:rFonts w:asciiTheme="majorHAnsi" w:hAnsiTheme="majorHAnsi"/>
                    </w:rPr>
                  </w:pPr>
                  <w:r>
                    <w:rPr>
                      <w:rFonts w:asciiTheme="majorHAnsi" w:hAnsiTheme="majorHAnsi"/>
                    </w:rPr>
                    <w:t xml:space="preserve">Additional feedback from ED including adding back the Equitable Access to effective teachers data from an earlier draft, and providing more detail on how the plan will serve special populations of students. </w:t>
                  </w:r>
                </w:p>
                <w:p w14:paraId="044F0210" w14:textId="660ED190" w:rsidR="002344CE" w:rsidRDefault="002344CE" w:rsidP="00E85E06">
                  <w:pPr>
                    <w:tabs>
                      <w:tab w:val="left" w:pos="2160"/>
                      <w:tab w:val="left" w:pos="2790"/>
                    </w:tabs>
                    <w:rPr>
                      <w:rFonts w:asciiTheme="majorHAnsi" w:hAnsiTheme="majorHAnsi"/>
                    </w:rPr>
                  </w:pPr>
                </w:p>
                <w:p w14:paraId="618A7287" w14:textId="5FECAF12" w:rsidR="002344CE" w:rsidRDefault="002344CE" w:rsidP="00E85E06">
                  <w:pPr>
                    <w:tabs>
                      <w:tab w:val="left" w:pos="2160"/>
                      <w:tab w:val="left" w:pos="2790"/>
                    </w:tabs>
                    <w:rPr>
                      <w:rFonts w:asciiTheme="majorHAnsi" w:hAnsiTheme="majorHAnsi"/>
                    </w:rPr>
                  </w:pPr>
                  <w:r>
                    <w:rPr>
                      <w:rFonts w:asciiTheme="majorHAnsi" w:hAnsiTheme="majorHAnsi"/>
                    </w:rPr>
                    <w:t>Jonathan shared that guidance documents for ESSA components are currently in development and will be available to the public on the OSSE website throughout August and September.</w:t>
                  </w:r>
                  <w:r w:rsidR="008A1EAF">
                    <w:rPr>
                      <w:rFonts w:asciiTheme="majorHAnsi" w:hAnsiTheme="majorHAnsi"/>
                    </w:rPr>
                    <w:t xml:space="preserve"> These can be viewed </w:t>
                  </w:r>
                  <w:hyperlink r:id="rId12" w:history="1">
                    <w:r w:rsidR="008A1EAF" w:rsidRPr="008A1EAF">
                      <w:rPr>
                        <w:rStyle w:val="Hyperlink"/>
                        <w:rFonts w:asciiTheme="majorHAnsi" w:hAnsiTheme="majorHAnsi"/>
                      </w:rPr>
                      <w:t>here</w:t>
                    </w:r>
                  </w:hyperlink>
                  <w:r w:rsidR="008A1EAF">
                    <w:rPr>
                      <w:rFonts w:asciiTheme="majorHAnsi" w:hAnsiTheme="majorHAnsi"/>
                    </w:rPr>
                    <w:t>.</w:t>
                  </w:r>
                </w:p>
                <w:p w14:paraId="0F1E5AE3" w14:textId="5159A8B3" w:rsidR="00446602" w:rsidRDefault="00446602" w:rsidP="00E85E06">
                  <w:pPr>
                    <w:tabs>
                      <w:tab w:val="left" w:pos="2160"/>
                      <w:tab w:val="left" w:pos="2790"/>
                    </w:tabs>
                    <w:rPr>
                      <w:rFonts w:asciiTheme="majorHAnsi" w:hAnsiTheme="majorHAnsi"/>
                    </w:rPr>
                  </w:pPr>
                </w:p>
                <w:p w14:paraId="64CB8D2B" w14:textId="3E8C36D1" w:rsidR="00AA658F" w:rsidRDefault="00446602" w:rsidP="00E85E06">
                  <w:pPr>
                    <w:tabs>
                      <w:tab w:val="left" w:pos="2160"/>
                      <w:tab w:val="left" w:pos="2790"/>
                    </w:tabs>
                    <w:rPr>
                      <w:rFonts w:asciiTheme="majorHAnsi" w:hAnsiTheme="majorHAnsi"/>
                    </w:rPr>
                  </w:pPr>
                  <w:r>
                    <w:rPr>
                      <w:rFonts w:asciiTheme="majorHAnsi" w:hAnsiTheme="majorHAnsi"/>
                    </w:rPr>
                    <w:t xml:space="preserve">Apart from the state plan, members of the committee voiced concerns around reductions in </w:t>
                  </w:r>
                  <w:r w:rsidR="00AA658F">
                    <w:rPr>
                      <w:rFonts w:asciiTheme="majorHAnsi" w:hAnsiTheme="majorHAnsi"/>
                    </w:rPr>
                    <w:t xml:space="preserve">ESEA </w:t>
                  </w:r>
                  <w:r>
                    <w:rPr>
                      <w:rFonts w:asciiTheme="majorHAnsi" w:hAnsiTheme="majorHAnsi"/>
                    </w:rPr>
                    <w:t xml:space="preserve">Title </w:t>
                  </w:r>
                  <w:r w:rsidR="00AA658F">
                    <w:rPr>
                      <w:rFonts w:asciiTheme="majorHAnsi" w:hAnsiTheme="majorHAnsi"/>
                    </w:rPr>
                    <w:t>II</w:t>
                  </w:r>
                  <w:r>
                    <w:rPr>
                      <w:rFonts w:asciiTheme="majorHAnsi" w:hAnsiTheme="majorHAnsi"/>
                    </w:rPr>
                    <w:t xml:space="preserve"> funding </w:t>
                  </w:r>
                  <w:r w:rsidR="00AA658F">
                    <w:rPr>
                      <w:rFonts w:asciiTheme="majorHAnsi" w:hAnsiTheme="majorHAnsi"/>
                    </w:rPr>
                    <w:t>in Fiscal Year 2017, which will affect LEAs in school year 2017-18</w:t>
                  </w:r>
                  <w:r>
                    <w:rPr>
                      <w:rFonts w:asciiTheme="majorHAnsi" w:hAnsiTheme="majorHAnsi"/>
                    </w:rPr>
                    <w:t xml:space="preserve">. Jonathan shared that </w:t>
                  </w:r>
                  <w:r w:rsidR="00AA658F">
                    <w:rPr>
                      <w:rFonts w:asciiTheme="majorHAnsi" w:hAnsiTheme="majorHAnsi"/>
                    </w:rPr>
                    <w:t xml:space="preserve">LEAs may transfer funding from Title IV to Title II to partly offset the cuts, if they wish. </w:t>
                  </w:r>
                  <w:r w:rsidR="00AA658F">
                    <w:rPr>
                      <w:rFonts w:asciiTheme="majorHAnsi" w:hAnsiTheme="majorHAnsi"/>
                    </w:rPr>
                    <w:t xml:space="preserve">In addition, based on </w:t>
                  </w:r>
                  <w:r w:rsidR="00AA658F">
                    <w:rPr>
                      <w:rFonts w:asciiTheme="majorHAnsi" w:hAnsiTheme="majorHAnsi"/>
                    </w:rPr>
                    <w:t>the FY18 spending bill the U.S. House passed in spring</w:t>
                  </w:r>
                  <w:r w:rsidR="00AA658F">
                    <w:rPr>
                      <w:rFonts w:asciiTheme="majorHAnsi" w:hAnsiTheme="majorHAnsi"/>
                    </w:rPr>
                    <w:t xml:space="preserve">, additional cuts could come to Title II funding in future years, and that LEAs should plan accordingly.  </w:t>
                  </w:r>
                </w:p>
                <w:p w14:paraId="6C66F1F3" w14:textId="77777777" w:rsidR="00AA658F" w:rsidRDefault="00AA658F" w:rsidP="00E85E06">
                  <w:pPr>
                    <w:tabs>
                      <w:tab w:val="left" w:pos="2160"/>
                      <w:tab w:val="left" w:pos="2790"/>
                    </w:tabs>
                    <w:rPr>
                      <w:rFonts w:asciiTheme="majorHAnsi" w:hAnsiTheme="majorHAnsi"/>
                    </w:rPr>
                  </w:pPr>
                </w:p>
                <w:p w14:paraId="445CF17C" w14:textId="4E215658" w:rsidR="00AA658F" w:rsidRDefault="00AA658F" w:rsidP="00E85E06">
                  <w:pPr>
                    <w:tabs>
                      <w:tab w:val="left" w:pos="2160"/>
                      <w:tab w:val="left" w:pos="2790"/>
                    </w:tabs>
                    <w:rPr>
                      <w:rFonts w:asciiTheme="majorHAnsi" w:hAnsiTheme="majorHAnsi"/>
                    </w:rPr>
                  </w:pPr>
                  <w:r>
                    <w:rPr>
                      <w:rFonts w:asciiTheme="majorHAnsi" w:hAnsiTheme="majorHAnsi"/>
                    </w:rPr>
                    <w:t xml:space="preserve">**Update: </w:t>
                  </w:r>
                  <w:r w:rsidR="007B70BD">
                    <w:rPr>
                      <w:rFonts w:asciiTheme="majorHAnsi" w:hAnsiTheme="majorHAnsi"/>
                    </w:rPr>
                    <w:t>OSSE updated LEAs with additional information from the U.S. Department of Education, that this year’s preliminary allocation for Title II included only part of the total FY17 funding approved by Congress. An additional allocation letter should be sent to each LEA, listing the full expected amount.</w:t>
                  </w:r>
                </w:p>
                <w:p w14:paraId="77A9CBB7" w14:textId="722482AB" w:rsidR="00446602" w:rsidRPr="00E85E06" w:rsidRDefault="00446602" w:rsidP="00E85E06">
                  <w:pPr>
                    <w:tabs>
                      <w:tab w:val="left" w:pos="2160"/>
                      <w:tab w:val="left" w:pos="2790"/>
                    </w:tabs>
                    <w:rPr>
                      <w:rFonts w:asciiTheme="majorHAnsi" w:hAnsiTheme="majorHAnsi"/>
                    </w:rPr>
                  </w:pPr>
                </w:p>
                <w:p w14:paraId="655956FF" w14:textId="76060BE1" w:rsidR="00952368" w:rsidRPr="00DB0B92" w:rsidRDefault="00952368" w:rsidP="00DB0B92">
                  <w:pPr>
                    <w:tabs>
                      <w:tab w:val="left" w:pos="2160"/>
                      <w:tab w:val="left" w:pos="2790"/>
                    </w:tabs>
                    <w:rPr>
                      <w:rFonts w:asciiTheme="majorHAnsi" w:hAnsiTheme="majorHAnsi"/>
                    </w:rPr>
                  </w:pPr>
                </w:p>
              </w:tc>
              <w:tc>
                <w:tcPr>
                  <w:tcW w:w="1890" w:type="dxa"/>
                  <w:vAlign w:val="center"/>
                </w:tcPr>
                <w:p w14:paraId="2F6B74B1" w14:textId="45747492" w:rsidR="00952368" w:rsidRDefault="006255E2" w:rsidP="00805113">
                  <w:pPr>
                    <w:tabs>
                      <w:tab w:val="left" w:pos="2160"/>
                      <w:tab w:val="left" w:pos="2790"/>
                    </w:tabs>
                    <w:jc w:val="center"/>
                    <w:rPr>
                      <w:rFonts w:asciiTheme="majorHAnsi" w:hAnsiTheme="majorHAnsi"/>
                      <w:b/>
                      <w:sz w:val="22"/>
                      <w:szCs w:val="22"/>
                    </w:rPr>
                  </w:pPr>
                  <w:r>
                    <w:rPr>
                      <w:rFonts w:asciiTheme="majorHAnsi" w:hAnsiTheme="majorHAnsi"/>
                      <w:b/>
                      <w:sz w:val="22"/>
                      <w:szCs w:val="22"/>
                    </w:rPr>
                    <w:lastRenderedPageBreak/>
                    <w:t>Jonathan Elkin</w:t>
                  </w:r>
                </w:p>
                <w:p w14:paraId="1FA8ECD1" w14:textId="6D9253E7" w:rsidR="00FC41FC" w:rsidRPr="006C5B34" w:rsidRDefault="00FC41FC" w:rsidP="00805113">
                  <w:pPr>
                    <w:tabs>
                      <w:tab w:val="left" w:pos="2160"/>
                      <w:tab w:val="left" w:pos="2790"/>
                    </w:tabs>
                    <w:jc w:val="center"/>
                    <w:rPr>
                      <w:rFonts w:asciiTheme="majorHAnsi" w:hAnsiTheme="majorHAnsi"/>
                      <w:b/>
                      <w:sz w:val="22"/>
                      <w:szCs w:val="22"/>
                    </w:rPr>
                  </w:pPr>
                  <w:r>
                    <w:rPr>
                      <w:rFonts w:asciiTheme="majorHAnsi" w:hAnsiTheme="majorHAnsi"/>
                      <w:b/>
                      <w:sz w:val="22"/>
                      <w:szCs w:val="22"/>
                    </w:rPr>
                    <w:t>Special Assistant</w:t>
                  </w:r>
                </w:p>
                <w:p w14:paraId="695230E6" w14:textId="77777777" w:rsidR="00952368" w:rsidRPr="006C5B34" w:rsidRDefault="00952368" w:rsidP="00C25D76">
                  <w:pPr>
                    <w:tabs>
                      <w:tab w:val="left" w:pos="2160"/>
                      <w:tab w:val="left" w:pos="2790"/>
                    </w:tabs>
                    <w:jc w:val="center"/>
                    <w:rPr>
                      <w:rFonts w:asciiTheme="majorHAnsi" w:hAnsiTheme="majorHAnsi"/>
                      <w:b/>
                      <w:sz w:val="22"/>
                      <w:szCs w:val="22"/>
                    </w:rPr>
                  </w:pPr>
                </w:p>
              </w:tc>
            </w:tr>
            <w:tr w:rsidR="0068599D" w:rsidRPr="00FF6F92" w14:paraId="7F59983F" w14:textId="77777777" w:rsidTr="00E85E06">
              <w:trPr>
                <w:trHeight w:val="1133"/>
              </w:trPr>
              <w:tc>
                <w:tcPr>
                  <w:tcW w:w="1435" w:type="dxa"/>
                  <w:vAlign w:val="center"/>
                </w:tcPr>
                <w:p w14:paraId="0031DA05" w14:textId="359A2FE5" w:rsidR="0068599D" w:rsidRDefault="0068599D" w:rsidP="0068599D">
                  <w:pPr>
                    <w:tabs>
                      <w:tab w:val="left" w:pos="2160"/>
                      <w:tab w:val="left" w:pos="2790"/>
                    </w:tabs>
                    <w:jc w:val="center"/>
                    <w:rPr>
                      <w:rFonts w:asciiTheme="majorHAnsi" w:hAnsiTheme="majorHAnsi"/>
                      <w:b/>
                      <w:sz w:val="22"/>
                      <w:szCs w:val="22"/>
                    </w:rPr>
                  </w:pPr>
                  <w:r>
                    <w:rPr>
                      <w:rFonts w:asciiTheme="majorHAnsi" w:hAnsiTheme="majorHAnsi"/>
                      <w:b/>
                      <w:sz w:val="22"/>
                      <w:szCs w:val="22"/>
                    </w:rPr>
                    <w:t>4:50– 5:00pm</w:t>
                  </w:r>
                </w:p>
              </w:tc>
              <w:tc>
                <w:tcPr>
                  <w:tcW w:w="6030" w:type="dxa"/>
                  <w:vAlign w:val="center"/>
                </w:tcPr>
                <w:p w14:paraId="2DBD835A" w14:textId="77777777" w:rsidR="0068599D" w:rsidRDefault="0068599D" w:rsidP="00805113">
                  <w:pPr>
                    <w:tabs>
                      <w:tab w:val="left" w:pos="2160"/>
                      <w:tab w:val="left" w:pos="2790"/>
                    </w:tabs>
                    <w:rPr>
                      <w:rFonts w:asciiTheme="majorHAnsi" w:hAnsiTheme="majorHAnsi"/>
                      <w:b/>
                      <w:sz w:val="22"/>
                      <w:szCs w:val="22"/>
                    </w:rPr>
                  </w:pPr>
                  <w:r>
                    <w:rPr>
                      <w:rFonts w:asciiTheme="majorHAnsi" w:hAnsiTheme="majorHAnsi"/>
                      <w:b/>
                      <w:sz w:val="22"/>
                      <w:szCs w:val="22"/>
                    </w:rPr>
                    <w:t>Update: Title I Monitoring Tool</w:t>
                  </w:r>
                </w:p>
                <w:p w14:paraId="6B196809" w14:textId="77777777" w:rsidR="00446602" w:rsidRDefault="00446602" w:rsidP="00805113">
                  <w:pPr>
                    <w:tabs>
                      <w:tab w:val="left" w:pos="2160"/>
                      <w:tab w:val="left" w:pos="2790"/>
                    </w:tabs>
                    <w:rPr>
                      <w:rFonts w:asciiTheme="majorHAnsi" w:hAnsiTheme="majorHAnsi"/>
                      <w:b/>
                      <w:sz w:val="22"/>
                      <w:szCs w:val="22"/>
                    </w:rPr>
                  </w:pPr>
                </w:p>
                <w:p w14:paraId="52C254DE" w14:textId="77777777" w:rsidR="00446602" w:rsidRDefault="00446602" w:rsidP="00805113">
                  <w:pPr>
                    <w:tabs>
                      <w:tab w:val="left" w:pos="2160"/>
                      <w:tab w:val="left" w:pos="2790"/>
                    </w:tabs>
                    <w:rPr>
                      <w:rFonts w:asciiTheme="majorHAnsi" w:hAnsiTheme="majorHAnsi"/>
                      <w:sz w:val="22"/>
                      <w:szCs w:val="22"/>
                    </w:rPr>
                  </w:pPr>
                  <w:r>
                    <w:rPr>
                      <w:rFonts w:asciiTheme="majorHAnsi" w:hAnsiTheme="majorHAnsi"/>
                      <w:sz w:val="22"/>
                      <w:szCs w:val="22"/>
                    </w:rPr>
                    <w:t>Jodi shared updates to the Title I Monitoring tool based upon feedback that was provided by the CoP at the previous meeting.  The tool was updated</w:t>
                  </w:r>
                  <w:r w:rsidR="00456196">
                    <w:rPr>
                      <w:rFonts w:asciiTheme="majorHAnsi" w:hAnsiTheme="majorHAnsi"/>
                      <w:sz w:val="22"/>
                      <w:szCs w:val="22"/>
                    </w:rPr>
                    <w:t xml:space="preserve"> to combine elements of the on-site and pre-site visit documents.  The revised tool now lists what information needs to be submitted to OSSE in advance, and what needs to be available during a review visit.  The entire process will need to be revised to align to ESSA expectations in SY 18-19, but the current tool will remain in place for SY 17-18 since this is a transition year to the new plan.</w:t>
                  </w:r>
                </w:p>
                <w:p w14:paraId="7298DF52" w14:textId="77777777" w:rsidR="00456196" w:rsidRDefault="00456196" w:rsidP="00805113">
                  <w:pPr>
                    <w:tabs>
                      <w:tab w:val="left" w:pos="2160"/>
                      <w:tab w:val="left" w:pos="2790"/>
                    </w:tabs>
                    <w:rPr>
                      <w:rFonts w:asciiTheme="majorHAnsi" w:hAnsiTheme="majorHAnsi"/>
                      <w:sz w:val="22"/>
                      <w:szCs w:val="22"/>
                    </w:rPr>
                  </w:pPr>
                </w:p>
                <w:p w14:paraId="1385A119" w14:textId="0F44891A" w:rsidR="00456196" w:rsidRPr="00446602" w:rsidRDefault="00456196" w:rsidP="007B70BD">
                  <w:pPr>
                    <w:tabs>
                      <w:tab w:val="left" w:pos="2160"/>
                      <w:tab w:val="left" w:pos="2790"/>
                    </w:tabs>
                    <w:rPr>
                      <w:rFonts w:asciiTheme="majorHAnsi" w:hAnsiTheme="majorHAnsi"/>
                      <w:sz w:val="22"/>
                      <w:szCs w:val="22"/>
                    </w:rPr>
                  </w:pPr>
                  <w:r>
                    <w:rPr>
                      <w:rFonts w:asciiTheme="majorHAnsi" w:hAnsiTheme="majorHAnsi"/>
                      <w:sz w:val="22"/>
                      <w:szCs w:val="22"/>
                    </w:rPr>
                    <w:lastRenderedPageBreak/>
                    <w:t xml:space="preserve">Committee members raised questions regarding the selection of schools for monitoring.  Sharon </w:t>
                  </w:r>
                  <w:r w:rsidR="007B70BD">
                    <w:rPr>
                      <w:rFonts w:asciiTheme="majorHAnsi" w:hAnsiTheme="majorHAnsi"/>
                      <w:sz w:val="22"/>
                      <w:szCs w:val="22"/>
                    </w:rPr>
                    <w:t>Gaskins</w:t>
                  </w:r>
                  <w:r>
                    <w:rPr>
                      <w:rFonts w:asciiTheme="majorHAnsi" w:hAnsiTheme="majorHAnsi"/>
                      <w:sz w:val="22"/>
                      <w:szCs w:val="22"/>
                    </w:rPr>
                    <w:t xml:space="preserve"> said that the selection of schools for monitoring was influenced by the amount of grant dollars received, and grants that have been flagged as having higher risk factors in relation to other grants.  The information regarding grant risk factors is communicated to LEAs as a part of the application process.</w:t>
                  </w:r>
                </w:p>
              </w:tc>
              <w:tc>
                <w:tcPr>
                  <w:tcW w:w="1890" w:type="dxa"/>
                  <w:vAlign w:val="center"/>
                </w:tcPr>
                <w:p w14:paraId="5649CF20" w14:textId="77777777" w:rsidR="0068599D" w:rsidRPr="0068599D" w:rsidRDefault="0068599D" w:rsidP="0068599D">
                  <w:pPr>
                    <w:tabs>
                      <w:tab w:val="left" w:pos="2160"/>
                      <w:tab w:val="left" w:pos="2790"/>
                    </w:tabs>
                    <w:jc w:val="center"/>
                    <w:rPr>
                      <w:rFonts w:asciiTheme="majorHAnsi" w:hAnsiTheme="majorHAnsi"/>
                      <w:b/>
                      <w:sz w:val="22"/>
                      <w:szCs w:val="22"/>
                    </w:rPr>
                  </w:pPr>
                  <w:r w:rsidRPr="0068599D">
                    <w:rPr>
                      <w:rFonts w:asciiTheme="majorHAnsi" w:hAnsiTheme="majorHAnsi"/>
                      <w:b/>
                      <w:sz w:val="22"/>
                      <w:szCs w:val="22"/>
                    </w:rPr>
                    <w:lastRenderedPageBreak/>
                    <w:t>Jody O’Banner</w:t>
                  </w:r>
                </w:p>
                <w:p w14:paraId="09C25AA4" w14:textId="77777777" w:rsidR="0068599D" w:rsidRPr="0068599D" w:rsidRDefault="0068599D" w:rsidP="0068599D">
                  <w:pPr>
                    <w:jc w:val="center"/>
                    <w:rPr>
                      <w:rFonts w:asciiTheme="majorHAnsi" w:hAnsiTheme="majorHAnsi"/>
                      <w:b/>
                      <w:sz w:val="22"/>
                      <w:szCs w:val="22"/>
                    </w:rPr>
                  </w:pPr>
                  <w:r w:rsidRPr="0068599D">
                    <w:rPr>
                      <w:rFonts w:asciiTheme="majorHAnsi" w:hAnsiTheme="majorHAnsi"/>
                      <w:b/>
                      <w:sz w:val="22"/>
                      <w:szCs w:val="22"/>
                    </w:rPr>
                    <w:t>Title I and Title II Project Manager</w:t>
                  </w:r>
                </w:p>
                <w:p w14:paraId="0882072A" w14:textId="6F136655" w:rsidR="0068599D" w:rsidRDefault="0068599D" w:rsidP="00805113">
                  <w:pPr>
                    <w:tabs>
                      <w:tab w:val="left" w:pos="2160"/>
                      <w:tab w:val="left" w:pos="2790"/>
                    </w:tabs>
                    <w:jc w:val="center"/>
                    <w:rPr>
                      <w:rFonts w:asciiTheme="majorHAnsi" w:hAnsiTheme="majorHAnsi"/>
                      <w:b/>
                      <w:sz w:val="22"/>
                      <w:szCs w:val="22"/>
                    </w:rPr>
                  </w:pPr>
                </w:p>
              </w:tc>
            </w:tr>
            <w:tr w:rsidR="00952368" w:rsidRPr="00FF6F92" w14:paraId="7FE5B0D8" w14:textId="77777777" w:rsidTr="005F1A25">
              <w:trPr>
                <w:trHeight w:val="352"/>
              </w:trPr>
              <w:tc>
                <w:tcPr>
                  <w:tcW w:w="1435" w:type="dxa"/>
                  <w:shd w:val="clear" w:color="auto" w:fill="D9D9D9" w:themeFill="background1" w:themeFillShade="D9"/>
                  <w:vAlign w:val="center"/>
                </w:tcPr>
                <w:p w14:paraId="7DE27EDE" w14:textId="1C5C78CE" w:rsidR="00952368" w:rsidRPr="006C5B34" w:rsidRDefault="0033206F" w:rsidP="006255E2">
                  <w:pPr>
                    <w:tabs>
                      <w:tab w:val="left" w:pos="2160"/>
                      <w:tab w:val="left" w:pos="2790"/>
                    </w:tabs>
                    <w:rPr>
                      <w:rFonts w:asciiTheme="majorHAnsi" w:hAnsiTheme="majorHAnsi"/>
                      <w:b/>
                      <w:sz w:val="22"/>
                      <w:szCs w:val="22"/>
                    </w:rPr>
                  </w:pPr>
                  <w:r>
                    <w:rPr>
                      <w:rFonts w:asciiTheme="majorHAnsi" w:hAnsiTheme="majorHAnsi"/>
                      <w:b/>
                      <w:sz w:val="22"/>
                      <w:szCs w:val="22"/>
                    </w:rPr>
                    <w:t>5</w:t>
                  </w:r>
                  <w:r w:rsidR="00D36E39">
                    <w:rPr>
                      <w:rFonts w:asciiTheme="majorHAnsi" w:hAnsiTheme="majorHAnsi"/>
                      <w:b/>
                      <w:sz w:val="22"/>
                      <w:szCs w:val="22"/>
                    </w:rPr>
                    <w:t>:</w:t>
                  </w:r>
                  <w:r w:rsidR="0068599D">
                    <w:rPr>
                      <w:rFonts w:asciiTheme="majorHAnsi" w:hAnsiTheme="majorHAnsi"/>
                      <w:b/>
                      <w:sz w:val="22"/>
                      <w:szCs w:val="22"/>
                    </w:rPr>
                    <w:t>00</w:t>
                  </w:r>
                  <w:r w:rsidR="00FC41FC">
                    <w:rPr>
                      <w:rFonts w:asciiTheme="majorHAnsi" w:hAnsiTheme="majorHAnsi"/>
                      <w:b/>
                      <w:sz w:val="22"/>
                      <w:szCs w:val="22"/>
                    </w:rPr>
                    <w:t>-</w:t>
                  </w:r>
                  <w:r w:rsidR="006255E2">
                    <w:rPr>
                      <w:rFonts w:asciiTheme="majorHAnsi" w:hAnsiTheme="majorHAnsi"/>
                      <w:b/>
                      <w:sz w:val="22"/>
                      <w:szCs w:val="22"/>
                    </w:rPr>
                    <w:t>5</w:t>
                  </w:r>
                  <w:r w:rsidR="004E6D87">
                    <w:rPr>
                      <w:rFonts w:asciiTheme="majorHAnsi" w:hAnsiTheme="majorHAnsi"/>
                      <w:b/>
                      <w:sz w:val="22"/>
                      <w:szCs w:val="22"/>
                    </w:rPr>
                    <w:t>:</w:t>
                  </w:r>
                  <w:r w:rsidR="0068599D">
                    <w:rPr>
                      <w:rFonts w:asciiTheme="majorHAnsi" w:hAnsiTheme="majorHAnsi"/>
                      <w:b/>
                      <w:sz w:val="22"/>
                      <w:szCs w:val="22"/>
                    </w:rPr>
                    <w:t>15</w:t>
                  </w:r>
                  <w:r w:rsidR="00D36E39">
                    <w:rPr>
                      <w:rFonts w:asciiTheme="majorHAnsi" w:hAnsiTheme="majorHAnsi"/>
                      <w:b/>
                      <w:sz w:val="22"/>
                      <w:szCs w:val="22"/>
                    </w:rPr>
                    <w:t>pm</w:t>
                  </w:r>
                </w:p>
              </w:tc>
              <w:tc>
                <w:tcPr>
                  <w:tcW w:w="6030" w:type="dxa"/>
                  <w:shd w:val="clear" w:color="auto" w:fill="D9D9D9" w:themeFill="background1" w:themeFillShade="D9"/>
                </w:tcPr>
                <w:p w14:paraId="7529F711" w14:textId="21246ACB" w:rsidR="00952368" w:rsidRPr="006C5B34" w:rsidRDefault="00952368" w:rsidP="00805113">
                  <w:pPr>
                    <w:tabs>
                      <w:tab w:val="left" w:pos="2160"/>
                      <w:tab w:val="left" w:pos="2790"/>
                    </w:tabs>
                    <w:rPr>
                      <w:rFonts w:asciiTheme="majorHAnsi" w:hAnsiTheme="majorHAnsi"/>
                      <w:b/>
                      <w:sz w:val="22"/>
                      <w:szCs w:val="22"/>
                    </w:rPr>
                  </w:pPr>
                  <w:r w:rsidRPr="006C5B34">
                    <w:rPr>
                      <w:rFonts w:asciiTheme="majorHAnsi" w:hAnsiTheme="majorHAnsi"/>
                      <w:b/>
                      <w:sz w:val="22"/>
                      <w:szCs w:val="22"/>
                    </w:rPr>
                    <w:t>Break</w:t>
                  </w:r>
                  <w:r w:rsidR="00D101CA" w:rsidRPr="006C5B34">
                    <w:rPr>
                      <w:rFonts w:asciiTheme="majorHAnsi" w:hAnsiTheme="majorHAnsi"/>
                      <w:b/>
                      <w:sz w:val="22"/>
                      <w:szCs w:val="22"/>
                    </w:rPr>
                    <w:t xml:space="preserve"> and Dinner</w:t>
                  </w:r>
                  <w:r w:rsidR="006255E2">
                    <w:rPr>
                      <w:rFonts w:asciiTheme="majorHAnsi" w:hAnsiTheme="majorHAnsi"/>
                      <w:b/>
                      <w:sz w:val="22"/>
                      <w:szCs w:val="22"/>
                    </w:rPr>
                    <w:t xml:space="preserve"> Buffet</w:t>
                  </w:r>
                </w:p>
              </w:tc>
              <w:tc>
                <w:tcPr>
                  <w:tcW w:w="1890" w:type="dxa"/>
                  <w:shd w:val="clear" w:color="auto" w:fill="D9D9D9" w:themeFill="background1" w:themeFillShade="D9"/>
                  <w:vAlign w:val="center"/>
                </w:tcPr>
                <w:p w14:paraId="65F84115" w14:textId="77777777" w:rsidR="00952368" w:rsidRPr="006C5B34" w:rsidRDefault="00952368" w:rsidP="00805113">
                  <w:pPr>
                    <w:tabs>
                      <w:tab w:val="left" w:pos="2160"/>
                      <w:tab w:val="left" w:pos="2790"/>
                    </w:tabs>
                    <w:jc w:val="center"/>
                    <w:rPr>
                      <w:rFonts w:asciiTheme="majorHAnsi" w:hAnsiTheme="majorHAnsi"/>
                      <w:b/>
                      <w:sz w:val="22"/>
                      <w:szCs w:val="22"/>
                    </w:rPr>
                  </w:pPr>
                </w:p>
              </w:tc>
            </w:tr>
            <w:tr w:rsidR="00C25D76" w:rsidRPr="00FF6F92" w14:paraId="67B6DD56" w14:textId="77777777" w:rsidTr="00191ECC">
              <w:trPr>
                <w:trHeight w:val="1340"/>
              </w:trPr>
              <w:tc>
                <w:tcPr>
                  <w:tcW w:w="1435" w:type="dxa"/>
                  <w:shd w:val="clear" w:color="auto" w:fill="FFFFFF" w:themeFill="background1"/>
                  <w:vAlign w:val="center"/>
                </w:tcPr>
                <w:p w14:paraId="29BE5617" w14:textId="2916A90B" w:rsidR="00C25D76" w:rsidRPr="006C5B34" w:rsidRDefault="00C25D76" w:rsidP="00F11707">
                  <w:pPr>
                    <w:tabs>
                      <w:tab w:val="left" w:pos="2160"/>
                      <w:tab w:val="left" w:pos="2790"/>
                    </w:tabs>
                    <w:jc w:val="center"/>
                    <w:rPr>
                      <w:rFonts w:asciiTheme="majorHAnsi" w:hAnsiTheme="majorHAnsi"/>
                      <w:b/>
                      <w:sz w:val="22"/>
                      <w:szCs w:val="22"/>
                    </w:rPr>
                  </w:pPr>
                  <w:r w:rsidRPr="006C5B34">
                    <w:rPr>
                      <w:rFonts w:asciiTheme="majorHAnsi" w:hAnsiTheme="majorHAnsi"/>
                      <w:b/>
                      <w:sz w:val="22"/>
                      <w:szCs w:val="22"/>
                    </w:rPr>
                    <w:t>5:</w:t>
                  </w:r>
                  <w:r w:rsidR="00830FD8">
                    <w:rPr>
                      <w:rFonts w:asciiTheme="majorHAnsi" w:hAnsiTheme="majorHAnsi"/>
                      <w:b/>
                      <w:sz w:val="22"/>
                      <w:szCs w:val="22"/>
                    </w:rPr>
                    <w:t>1</w:t>
                  </w:r>
                  <w:r w:rsidR="00F11707">
                    <w:rPr>
                      <w:rFonts w:asciiTheme="majorHAnsi" w:hAnsiTheme="majorHAnsi"/>
                      <w:b/>
                      <w:sz w:val="22"/>
                      <w:szCs w:val="22"/>
                    </w:rPr>
                    <w:t>5</w:t>
                  </w:r>
                  <w:r w:rsidR="0068599D">
                    <w:rPr>
                      <w:rFonts w:asciiTheme="majorHAnsi" w:hAnsiTheme="majorHAnsi"/>
                      <w:b/>
                      <w:sz w:val="22"/>
                      <w:szCs w:val="22"/>
                    </w:rPr>
                    <w:t xml:space="preserve"> – 6:15</w:t>
                  </w:r>
                  <w:r w:rsidR="00D36E39">
                    <w:rPr>
                      <w:rFonts w:asciiTheme="majorHAnsi" w:hAnsiTheme="majorHAnsi"/>
                      <w:b/>
                      <w:sz w:val="22"/>
                      <w:szCs w:val="22"/>
                    </w:rPr>
                    <w:t>pm</w:t>
                  </w:r>
                </w:p>
              </w:tc>
              <w:tc>
                <w:tcPr>
                  <w:tcW w:w="6030" w:type="dxa"/>
                  <w:shd w:val="clear" w:color="auto" w:fill="FFFFFF" w:themeFill="background1"/>
                </w:tcPr>
                <w:p w14:paraId="58F8EDE0" w14:textId="77777777" w:rsidR="00C25D76" w:rsidRPr="006C5B34" w:rsidRDefault="00C25D76" w:rsidP="00C25D76">
                  <w:pPr>
                    <w:rPr>
                      <w:rFonts w:asciiTheme="majorHAnsi" w:hAnsiTheme="majorHAnsi"/>
                      <w:b/>
                      <w:sz w:val="22"/>
                      <w:szCs w:val="22"/>
                    </w:rPr>
                  </w:pPr>
                </w:p>
                <w:p w14:paraId="60CA9AFE" w14:textId="12CFBE87" w:rsidR="00C25D76" w:rsidRDefault="00191ECC" w:rsidP="00C25D76">
                  <w:pPr>
                    <w:rPr>
                      <w:rFonts w:asciiTheme="majorHAnsi" w:hAnsiTheme="majorHAnsi"/>
                      <w:sz w:val="22"/>
                      <w:szCs w:val="22"/>
                    </w:rPr>
                  </w:pPr>
                  <w:r>
                    <w:rPr>
                      <w:rFonts w:asciiTheme="majorHAnsi" w:hAnsiTheme="majorHAnsi"/>
                      <w:b/>
                      <w:sz w:val="22"/>
                      <w:szCs w:val="22"/>
                    </w:rPr>
                    <w:t>Update</w:t>
                  </w:r>
                  <w:r w:rsidR="00FC41FC">
                    <w:rPr>
                      <w:rFonts w:asciiTheme="majorHAnsi" w:hAnsiTheme="majorHAnsi"/>
                      <w:b/>
                      <w:sz w:val="22"/>
                      <w:szCs w:val="22"/>
                    </w:rPr>
                    <w:t xml:space="preserve">: </w:t>
                  </w:r>
                  <w:r w:rsidR="0068599D">
                    <w:rPr>
                      <w:rFonts w:asciiTheme="majorHAnsi" w:hAnsiTheme="majorHAnsi"/>
                      <w:b/>
                      <w:sz w:val="22"/>
                      <w:szCs w:val="22"/>
                    </w:rPr>
                    <w:t>1003 School Improvement Grant</w:t>
                  </w:r>
                  <w:r>
                    <w:rPr>
                      <w:rFonts w:asciiTheme="majorHAnsi" w:hAnsiTheme="majorHAnsi"/>
                      <w:b/>
                      <w:sz w:val="22"/>
                      <w:szCs w:val="22"/>
                    </w:rPr>
                    <w:t xml:space="preserve"> Administration</w:t>
                  </w:r>
                  <w:r w:rsidR="0068599D">
                    <w:rPr>
                      <w:rFonts w:asciiTheme="majorHAnsi" w:hAnsiTheme="majorHAnsi"/>
                      <w:b/>
                      <w:sz w:val="22"/>
                      <w:szCs w:val="22"/>
                    </w:rPr>
                    <w:t xml:space="preserve"> </w:t>
                  </w:r>
                  <w:r w:rsidR="00C25D76" w:rsidRPr="006C5B34">
                    <w:rPr>
                      <w:rFonts w:asciiTheme="majorHAnsi" w:hAnsiTheme="majorHAnsi"/>
                      <w:sz w:val="22"/>
                      <w:szCs w:val="22"/>
                    </w:rPr>
                    <w:t xml:space="preserve"> </w:t>
                  </w:r>
                </w:p>
                <w:p w14:paraId="46CD00CF" w14:textId="41A4CEC7" w:rsidR="0004744E" w:rsidRDefault="0004744E" w:rsidP="00C25D76">
                  <w:pPr>
                    <w:rPr>
                      <w:rFonts w:asciiTheme="majorHAnsi" w:hAnsiTheme="majorHAnsi"/>
                      <w:sz w:val="22"/>
                      <w:szCs w:val="22"/>
                    </w:rPr>
                  </w:pPr>
                </w:p>
                <w:p w14:paraId="4D5756AE" w14:textId="1E51994F" w:rsidR="00AA658F" w:rsidRDefault="00AA658F" w:rsidP="00AA658F">
                  <w:pPr>
                    <w:rPr>
                      <w:rFonts w:asciiTheme="majorHAnsi" w:hAnsiTheme="majorHAnsi"/>
                      <w:sz w:val="22"/>
                      <w:szCs w:val="22"/>
                    </w:rPr>
                  </w:pPr>
                  <w:r>
                    <w:rPr>
                      <w:rFonts w:asciiTheme="majorHAnsi" w:hAnsiTheme="majorHAnsi"/>
                      <w:sz w:val="22"/>
                      <w:szCs w:val="22"/>
                    </w:rPr>
                    <w:t>Sharon presented and shared updates regarding school improvement grants under ESSA.  For this school year, no changes to the school improvement grants will occur, as SY 17-18 remains a transition year. Information discussed will apply to the SIG process in SY 18-19.</w:t>
                  </w:r>
                </w:p>
                <w:p w14:paraId="3CDD2DBE" w14:textId="0C309576" w:rsidR="0004744E" w:rsidRDefault="0004744E" w:rsidP="00C25D76">
                  <w:pPr>
                    <w:rPr>
                      <w:rFonts w:asciiTheme="majorHAnsi" w:hAnsiTheme="majorHAnsi"/>
                      <w:sz w:val="22"/>
                      <w:szCs w:val="22"/>
                    </w:rPr>
                  </w:pPr>
                </w:p>
                <w:p w14:paraId="3D317C82" w14:textId="77777777" w:rsidR="00AA658F" w:rsidRDefault="00AA658F" w:rsidP="00AA658F">
                  <w:pPr>
                    <w:rPr>
                      <w:rFonts w:asciiTheme="majorHAnsi" w:hAnsiTheme="majorHAnsi"/>
                      <w:sz w:val="22"/>
                      <w:szCs w:val="22"/>
                    </w:rPr>
                  </w:pPr>
                  <w:r>
                    <w:rPr>
                      <w:rFonts w:asciiTheme="majorHAnsi" w:hAnsiTheme="majorHAnsi"/>
                      <w:sz w:val="22"/>
                      <w:szCs w:val="22"/>
                    </w:rPr>
                    <w:t>Key highlights from Sharon’s presentation included:</w:t>
                  </w:r>
                </w:p>
                <w:p w14:paraId="2E825BD2" w14:textId="3CA05332" w:rsidR="00AA658F" w:rsidRDefault="00AA658F" w:rsidP="00AA658F">
                  <w:pPr>
                    <w:pStyle w:val="ListParagraph"/>
                    <w:numPr>
                      <w:ilvl w:val="0"/>
                      <w:numId w:val="12"/>
                    </w:numPr>
                    <w:rPr>
                      <w:rFonts w:asciiTheme="majorHAnsi" w:hAnsiTheme="majorHAnsi"/>
                    </w:rPr>
                  </w:pPr>
                  <w:r>
                    <w:rPr>
                      <w:rFonts w:asciiTheme="majorHAnsi" w:hAnsiTheme="majorHAnsi"/>
                    </w:rPr>
                    <w:t>Under ESSA, a 7% set aside is included</w:t>
                  </w:r>
                  <w:r>
                    <w:rPr>
                      <w:rFonts w:asciiTheme="majorHAnsi" w:hAnsiTheme="majorHAnsi"/>
                    </w:rPr>
                    <w:t>,</w:t>
                  </w:r>
                  <w:r>
                    <w:rPr>
                      <w:rFonts w:asciiTheme="majorHAnsi" w:hAnsiTheme="majorHAnsi"/>
                    </w:rPr>
                    <w:t xml:space="preserve"> and SEAs are required to award 95% of the funds to schools identified as comprehensive or targeted support schools.</w:t>
                  </w:r>
                </w:p>
                <w:p w14:paraId="5A0963E6" w14:textId="77777777" w:rsidR="00AA658F" w:rsidRDefault="00AA658F" w:rsidP="00AA658F">
                  <w:pPr>
                    <w:pStyle w:val="ListParagraph"/>
                    <w:numPr>
                      <w:ilvl w:val="0"/>
                      <w:numId w:val="12"/>
                    </w:numPr>
                    <w:rPr>
                      <w:rFonts w:asciiTheme="majorHAnsi" w:hAnsiTheme="majorHAnsi"/>
                    </w:rPr>
                  </w:pPr>
                  <w:r>
                    <w:rPr>
                      <w:rFonts w:asciiTheme="majorHAnsi" w:hAnsiTheme="majorHAnsi"/>
                    </w:rPr>
                    <w:t>However, the existing funding streams of 1003a and 1003g will combine.  SEAs will have the option to determine if funds will be awarded competitively or in formula fashion.  OSSE is leaning towards competitive grants, with priority given to schools in comprehensive support status.</w:t>
                  </w:r>
                </w:p>
                <w:p w14:paraId="354A5BE0" w14:textId="77777777" w:rsidR="00AA658F" w:rsidRDefault="00AA658F" w:rsidP="00AA658F">
                  <w:pPr>
                    <w:pStyle w:val="ListParagraph"/>
                    <w:numPr>
                      <w:ilvl w:val="0"/>
                      <w:numId w:val="12"/>
                    </w:numPr>
                    <w:rPr>
                      <w:rFonts w:asciiTheme="majorHAnsi" w:hAnsiTheme="majorHAnsi"/>
                    </w:rPr>
                  </w:pPr>
                  <w:r>
                    <w:rPr>
                      <w:rFonts w:asciiTheme="majorHAnsi" w:hAnsiTheme="majorHAnsi"/>
                    </w:rPr>
                    <w:t xml:space="preserve">LEAs may apply as a consortium under ESSA regulations.  </w:t>
                  </w:r>
                </w:p>
                <w:p w14:paraId="00B37ABE" w14:textId="6DA47B1B" w:rsidR="00AA658F" w:rsidRDefault="00AA658F" w:rsidP="00AA658F">
                  <w:pPr>
                    <w:pStyle w:val="ListParagraph"/>
                    <w:numPr>
                      <w:ilvl w:val="0"/>
                      <w:numId w:val="12"/>
                    </w:numPr>
                    <w:rPr>
                      <w:rFonts w:asciiTheme="majorHAnsi" w:hAnsiTheme="majorHAnsi"/>
                    </w:rPr>
                  </w:pPr>
                  <w:r>
                    <w:rPr>
                      <w:rFonts w:asciiTheme="majorHAnsi" w:hAnsiTheme="majorHAnsi"/>
                    </w:rPr>
                    <w:t>The law allows for grants to support multi-year implementation, up to 4 years.</w:t>
                  </w:r>
                </w:p>
                <w:p w14:paraId="007880C0" w14:textId="77777777" w:rsidR="00AA658F" w:rsidRDefault="00AA658F" w:rsidP="00AA658F">
                  <w:pPr>
                    <w:pStyle w:val="ListParagraph"/>
                    <w:numPr>
                      <w:ilvl w:val="0"/>
                      <w:numId w:val="12"/>
                    </w:numPr>
                    <w:rPr>
                      <w:rFonts w:asciiTheme="majorHAnsi" w:hAnsiTheme="majorHAnsi"/>
                    </w:rPr>
                  </w:pPr>
                  <w:r>
                    <w:rPr>
                      <w:rFonts w:asciiTheme="majorHAnsi" w:hAnsiTheme="majorHAnsi"/>
                    </w:rPr>
                    <w:t>If external partners are identified in grant applications, they are to undergo “rigorous” review.</w:t>
                  </w:r>
                </w:p>
                <w:p w14:paraId="29F0024B" w14:textId="77777777" w:rsidR="00AA658F" w:rsidRDefault="00AA658F" w:rsidP="00AA658F">
                  <w:pPr>
                    <w:pStyle w:val="ListParagraph"/>
                    <w:numPr>
                      <w:ilvl w:val="0"/>
                      <w:numId w:val="12"/>
                    </w:numPr>
                    <w:rPr>
                      <w:rFonts w:asciiTheme="majorHAnsi" w:hAnsiTheme="majorHAnsi"/>
                    </w:rPr>
                  </w:pPr>
                  <w:r>
                    <w:rPr>
                      <w:rFonts w:asciiTheme="majorHAnsi" w:hAnsiTheme="majorHAnsi"/>
                    </w:rPr>
                    <w:t>SEA role is to establish a funding mechanism (competitive vs. non-competitive), monitor implementation, and ensure that grants are of sufficient size for impact.</w:t>
                  </w:r>
                </w:p>
                <w:p w14:paraId="1840C952" w14:textId="78C88F6B" w:rsidR="002344CE" w:rsidRDefault="002344CE" w:rsidP="002344CE">
                  <w:pPr>
                    <w:rPr>
                      <w:rFonts w:asciiTheme="majorHAnsi" w:hAnsiTheme="majorHAnsi"/>
                    </w:rPr>
                  </w:pPr>
                </w:p>
                <w:p w14:paraId="4132F87A" w14:textId="740D79EE" w:rsidR="002344CE" w:rsidRPr="007B70BD" w:rsidRDefault="002344CE" w:rsidP="002344CE">
                  <w:pPr>
                    <w:rPr>
                      <w:rFonts w:asciiTheme="majorHAnsi" w:hAnsiTheme="majorHAnsi"/>
                      <w:sz w:val="22"/>
                      <w:szCs w:val="22"/>
                    </w:rPr>
                  </w:pPr>
                  <w:r w:rsidRPr="007B70BD">
                    <w:rPr>
                      <w:rFonts w:asciiTheme="majorHAnsi" w:hAnsiTheme="majorHAnsi"/>
                      <w:sz w:val="22"/>
                      <w:szCs w:val="22"/>
                    </w:rPr>
                    <w:t>The following were pieces of key feedback the CoP provided regarding the proposal:</w:t>
                  </w:r>
                </w:p>
                <w:p w14:paraId="440B8C7B" w14:textId="5E07BF72" w:rsidR="002344CE" w:rsidRDefault="002344CE" w:rsidP="002344CE">
                  <w:pPr>
                    <w:pStyle w:val="ListParagraph"/>
                    <w:numPr>
                      <w:ilvl w:val="0"/>
                      <w:numId w:val="13"/>
                    </w:numPr>
                    <w:rPr>
                      <w:rFonts w:asciiTheme="majorHAnsi" w:hAnsiTheme="majorHAnsi"/>
                    </w:rPr>
                  </w:pPr>
                  <w:r>
                    <w:rPr>
                      <w:rFonts w:asciiTheme="majorHAnsi" w:hAnsiTheme="majorHAnsi"/>
                    </w:rPr>
                    <w:t>If OSSE is considering a move towards 100% competitive grants, grant guidance and the respective application should be available ASAP so that LEAs have the opportunity to create strong applications.</w:t>
                  </w:r>
                </w:p>
                <w:p w14:paraId="6A485AA5" w14:textId="4F3A7A1B" w:rsidR="002344CE" w:rsidRDefault="005D347A" w:rsidP="002344CE">
                  <w:pPr>
                    <w:pStyle w:val="ListParagraph"/>
                    <w:numPr>
                      <w:ilvl w:val="0"/>
                      <w:numId w:val="13"/>
                    </w:numPr>
                    <w:rPr>
                      <w:rFonts w:asciiTheme="majorHAnsi" w:hAnsiTheme="majorHAnsi"/>
                    </w:rPr>
                  </w:pPr>
                  <w:r>
                    <w:rPr>
                      <w:rFonts w:asciiTheme="majorHAnsi" w:hAnsiTheme="majorHAnsi"/>
                    </w:rPr>
                    <w:t xml:space="preserve">Committee members raised concerns around 100% of the </w:t>
                  </w:r>
                  <w:r w:rsidR="00AA658F">
                    <w:rPr>
                      <w:rFonts w:asciiTheme="majorHAnsi" w:hAnsiTheme="majorHAnsi"/>
                    </w:rPr>
                    <w:t>school improvement</w:t>
                  </w:r>
                  <w:r>
                    <w:rPr>
                      <w:rFonts w:asciiTheme="majorHAnsi" w:hAnsiTheme="majorHAnsi"/>
                    </w:rPr>
                    <w:t xml:space="preserve"> funds being competitively awarded.  A recommendation was provided that </w:t>
                  </w:r>
                  <w:r>
                    <w:rPr>
                      <w:rFonts w:asciiTheme="majorHAnsi" w:hAnsiTheme="majorHAnsi"/>
                    </w:rPr>
                    <w:lastRenderedPageBreak/>
                    <w:t xml:space="preserve">perhaps a floor </w:t>
                  </w:r>
                  <w:r w:rsidR="00AA658F">
                    <w:rPr>
                      <w:rFonts w:asciiTheme="majorHAnsi" w:hAnsiTheme="majorHAnsi"/>
                    </w:rPr>
                    <w:t xml:space="preserve">could be </w:t>
                  </w:r>
                  <w:r>
                    <w:rPr>
                      <w:rFonts w:asciiTheme="majorHAnsi" w:hAnsiTheme="majorHAnsi"/>
                    </w:rPr>
                    <w:t>awarded so long as all components of the application were addressed, and that should LEAs desire additional funding above the floor, the funds could be awarded competitively.</w:t>
                  </w:r>
                </w:p>
                <w:p w14:paraId="7DDADC79" w14:textId="57A36A6F" w:rsidR="005D347A" w:rsidRDefault="00AA658F" w:rsidP="002344CE">
                  <w:pPr>
                    <w:pStyle w:val="ListParagraph"/>
                    <w:numPr>
                      <w:ilvl w:val="0"/>
                      <w:numId w:val="13"/>
                    </w:numPr>
                    <w:rPr>
                      <w:rFonts w:asciiTheme="majorHAnsi" w:hAnsiTheme="majorHAnsi"/>
                    </w:rPr>
                  </w:pPr>
                  <w:r>
                    <w:rPr>
                      <w:rFonts w:asciiTheme="majorHAnsi" w:hAnsiTheme="majorHAnsi"/>
                    </w:rPr>
                    <w:t>OSSE should support</w:t>
                  </w:r>
                  <w:r w:rsidR="005D347A">
                    <w:rPr>
                      <w:rFonts w:asciiTheme="majorHAnsi" w:hAnsiTheme="majorHAnsi"/>
                    </w:rPr>
                    <w:t xml:space="preserve"> technical components of grants</w:t>
                  </w:r>
                  <w:r>
                    <w:rPr>
                      <w:rFonts w:asciiTheme="majorHAnsi" w:hAnsiTheme="majorHAnsi"/>
                    </w:rPr>
                    <w:t>, including root cause analysis, a rubric, exemplars, or coaching. This is especially important for formula grants.</w:t>
                  </w:r>
                </w:p>
                <w:p w14:paraId="5CA3E60C" w14:textId="18947BD5" w:rsidR="00AA658F" w:rsidRDefault="00AA658F" w:rsidP="002344CE">
                  <w:pPr>
                    <w:pStyle w:val="ListParagraph"/>
                    <w:numPr>
                      <w:ilvl w:val="0"/>
                      <w:numId w:val="13"/>
                    </w:numPr>
                    <w:rPr>
                      <w:rFonts w:asciiTheme="majorHAnsi" w:hAnsiTheme="majorHAnsi"/>
                    </w:rPr>
                  </w:pPr>
                  <w:r>
                    <w:rPr>
                      <w:rFonts w:asciiTheme="majorHAnsi" w:hAnsiTheme="majorHAnsi"/>
                    </w:rPr>
                    <w:t>Committee members were interested in historical rejection rates of competitive grants and how much unused funding has been rolled over to others.</w:t>
                  </w:r>
                </w:p>
                <w:p w14:paraId="135F56D9" w14:textId="09A13426" w:rsidR="00AA658F" w:rsidRDefault="00AA658F" w:rsidP="002344CE">
                  <w:pPr>
                    <w:pStyle w:val="ListParagraph"/>
                    <w:numPr>
                      <w:ilvl w:val="0"/>
                      <w:numId w:val="13"/>
                    </w:numPr>
                    <w:rPr>
                      <w:rFonts w:asciiTheme="majorHAnsi" w:hAnsiTheme="majorHAnsi"/>
                    </w:rPr>
                  </w:pPr>
                  <w:r>
                    <w:rPr>
                      <w:rFonts w:asciiTheme="majorHAnsi" w:hAnsiTheme="majorHAnsi"/>
                    </w:rPr>
                    <w:t>In competitive grants, there must be independent reviewers. Committee members expressed that LEAs would be interested in receiving the feedback from reviewers on their grant applications.</w:t>
                  </w:r>
                </w:p>
                <w:p w14:paraId="1A2542BB" w14:textId="3B203163" w:rsidR="00461114" w:rsidRPr="00AA658F" w:rsidRDefault="00AA658F" w:rsidP="00F1497D">
                  <w:pPr>
                    <w:pStyle w:val="ListParagraph"/>
                    <w:numPr>
                      <w:ilvl w:val="0"/>
                      <w:numId w:val="13"/>
                    </w:numPr>
                    <w:rPr>
                      <w:rFonts w:asciiTheme="majorHAnsi" w:hAnsiTheme="majorHAnsi" w:cstheme="majorHAnsi"/>
                    </w:rPr>
                  </w:pPr>
                  <w:r w:rsidRPr="00AA658F">
                    <w:rPr>
                      <w:rFonts w:asciiTheme="majorHAnsi" w:hAnsiTheme="majorHAnsi"/>
                    </w:rPr>
                    <w:t>For multi-year grants, LEA should be able to revise if something isn’t working.</w:t>
                  </w:r>
                </w:p>
                <w:p w14:paraId="220D06A7" w14:textId="7293B381" w:rsidR="00CD4897" w:rsidRPr="00191ECC" w:rsidRDefault="00CD4897" w:rsidP="00191ECC">
                  <w:pPr>
                    <w:pStyle w:val="ListParagraph"/>
                    <w:ind w:left="702"/>
                    <w:rPr>
                      <w:rFonts w:asciiTheme="majorHAnsi" w:hAnsiTheme="majorHAnsi"/>
                    </w:rPr>
                  </w:pPr>
                </w:p>
              </w:tc>
              <w:tc>
                <w:tcPr>
                  <w:tcW w:w="1890" w:type="dxa"/>
                  <w:shd w:val="clear" w:color="auto" w:fill="FFFFFF" w:themeFill="background1"/>
                  <w:vAlign w:val="center"/>
                </w:tcPr>
                <w:p w14:paraId="68C4F9FA" w14:textId="5903A3F8" w:rsidR="00C25D76" w:rsidRPr="006C5B34" w:rsidRDefault="00FC41FC" w:rsidP="007103BE">
                  <w:pPr>
                    <w:tabs>
                      <w:tab w:val="left" w:pos="2160"/>
                      <w:tab w:val="left" w:pos="2790"/>
                    </w:tabs>
                    <w:jc w:val="center"/>
                    <w:rPr>
                      <w:rFonts w:asciiTheme="majorHAnsi" w:hAnsiTheme="majorHAnsi"/>
                      <w:b/>
                      <w:sz w:val="22"/>
                      <w:szCs w:val="22"/>
                    </w:rPr>
                  </w:pPr>
                  <w:r>
                    <w:rPr>
                      <w:rFonts w:asciiTheme="majorHAnsi" w:hAnsiTheme="majorHAnsi"/>
                      <w:b/>
                      <w:sz w:val="22"/>
                      <w:szCs w:val="22"/>
                    </w:rPr>
                    <w:lastRenderedPageBreak/>
                    <w:t xml:space="preserve">Sharon Gaskins Deputy </w:t>
                  </w:r>
                  <w:r w:rsidR="00E85E06">
                    <w:rPr>
                      <w:rFonts w:asciiTheme="majorHAnsi" w:hAnsiTheme="majorHAnsi"/>
                      <w:b/>
                      <w:sz w:val="22"/>
                      <w:szCs w:val="22"/>
                    </w:rPr>
                    <w:t xml:space="preserve">Assistant </w:t>
                  </w:r>
                  <w:r>
                    <w:rPr>
                      <w:rFonts w:asciiTheme="majorHAnsi" w:hAnsiTheme="majorHAnsi"/>
                      <w:b/>
                      <w:sz w:val="22"/>
                      <w:szCs w:val="22"/>
                    </w:rPr>
                    <w:t>Superintendent</w:t>
                  </w:r>
                </w:p>
              </w:tc>
            </w:tr>
            <w:tr w:rsidR="00952368" w:rsidRPr="00FF6F92" w14:paraId="775C18BF" w14:textId="77777777" w:rsidTr="005F1A25">
              <w:trPr>
                <w:trHeight w:val="262"/>
              </w:trPr>
              <w:tc>
                <w:tcPr>
                  <w:tcW w:w="1435" w:type="dxa"/>
                  <w:vAlign w:val="center"/>
                </w:tcPr>
                <w:p w14:paraId="689696BA" w14:textId="48192462" w:rsidR="00952368" w:rsidRPr="006C5B34" w:rsidRDefault="0068599D" w:rsidP="00805113">
                  <w:pPr>
                    <w:tabs>
                      <w:tab w:val="left" w:pos="2160"/>
                      <w:tab w:val="left" w:pos="2790"/>
                    </w:tabs>
                    <w:jc w:val="center"/>
                    <w:rPr>
                      <w:rFonts w:asciiTheme="majorHAnsi" w:hAnsiTheme="majorHAnsi"/>
                      <w:b/>
                      <w:sz w:val="22"/>
                      <w:szCs w:val="22"/>
                    </w:rPr>
                  </w:pPr>
                  <w:r>
                    <w:rPr>
                      <w:rFonts w:asciiTheme="majorHAnsi" w:hAnsiTheme="majorHAnsi"/>
                      <w:b/>
                      <w:sz w:val="22"/>
                      <w:szCs w:val="22"/>
                    </w:rPr>
                    <w:lastRenderedPageBreak/>
                    <w:t>6:1</w:t>
                  </w:r>
                  <w:r w:rsidR="00FA736E">
                    <w:rPr>
                      <w:rFonts w:asciiTheme="majorHAnsi" w:hAnsiTheme="majorHAnsi"/>
                      <w:b/>
                      <w:sz w:val="22"/>
                      <w:szCs w:val="22"/>
                    </w:rPr>
                    <w:t xml:space="preserve">5 – </w:t>
                  </w:r>
                  <w:r w:rsidR="003B2BA0" w:rsidRPr="006C5B34">
                    <w:rPr>
                      <w:rFonts w:asciiTheme="majorHAnsi" w:hAnsiTheme="majorHAnsi"/>
                      <w:b/>
                      <w:sz w:val="22"/>
                      <w:szCs w:val="22"/>
                    </w:rPr>
                    <w:t>6:3</w:t>
                  </w:r>
                  <w:r w:rsidR="00A77A7C" w:rsidRPr="006C5B34">
                    <w:rPr>
                      <w:rFonts w:asciiTheme="majorHAnsi" w:hAnsiTheme="majorHAnsi"/>
                      <w:b/>
                      <w:sz w:val="22"/>
                      <w:szCs w:val="22"/>
                    </w:rPr>
                    <w:t>0</w:t>
                  </w:r>
                  <w:r w:rsidR="005F1A25">
                    <w:rPr>
                      <w:rFonts w:asciiTheme="majorHAnsi" w:hAnsiTheme="majorHAnsi"/>
                      <w:b/>
                      <w:sz w:val="22"/>
                      <w:szCs w:val="22"/>
                    </w:rPr>
                    <w:t>pm</w:t>
                  </w:r>
                </w:p>
              </w:tc>
              <w:tc>
                <w:tcPr>
                  <w:tcW w:w="6030" w:type="dxa"/>
                </w:tcPr>
                <w:p w14:paraId="3D5EC161" w14:textId="77777777" w:rsidR="00952368" w:rsidRDefault="00952368" w:rsidP="00805113">
                  <w:pPr>
                    <w:rPr>
                      <w:rFonts w:asciiTheme="majorHAnsi" w:hAnsiTheme="majorHAnsi"/>
                      <w:b/>
                      <w:sz w:val="22"/>
                      <w:szCs w:val="22"/>
                    </w:rPr>
                  </w:pPr>
                  <w:r w:rsidRPr="006C5B34">
                    <w:rPr>
                      <w:rFonts w:asciiTheme="majorHAnsi" w:hAnsiTheme="majorHAnsi"/>
                      <w:b/>
                      <w:sz w:val="22"/>
                      <w:szCs w:val="22"/>
                    </w:rPr>
                    <w:t>Closing</w:t>
                  </w:r>
                </w:p>
                <w:p w14:paraId="28B6CF78" w14:textId="77777777" w:rsidR="005D347A" w:rsidRDefault="005D347A" w:rsidP="00805113">
                  <w:pPr>
                    <w:rPr>
                      <w:rFonts w:asciiTheme="majorHAnsi" w:hAnsiTheme="majorHAnsi"/>
                      <w:b/>
                      <w:sz w:val="22"/>
                      <w:szCs w:val="22"/>
                    </w:rPr>
                  </w:pPr>
                </w:p>
                <w:p w14:paraId="0BBBC3ED" w14:textId="76523A1C" w:rsidR="005D347A" w:rsidRPr="005D347A" w:rsidRDefault="005D347A" w:rsidP="00805113">
                  <w:pPr>
                    <w:rPr>
                      <w:rFonts w:asciiTheme="majorHAnsi" w:hAnsiTheme="majorHAnsi"/>
                      <w:sz w:val="22"/>
                      <w:szCs w:val="22"/>
                    </w:rPr>
                  </w:pPr>
                  <w:r>
                    <w:rPr>
                      <w:rFonts w:asciiTheme="majorHAnsi" w:hAnsiTheme="majorHAnsi"/>
                      <w:sz w:val="22"/>
                      <w:szCs w:val="22"/>
                    </w:rPr>
                    <w:t>A motion was made and accepted to adjourn the meeting at 6:00pm.</w:t>
                  </w:r>
                </w:p>
              </w:tc>
              <w:tc>
                <w:tcPr>
                  <w:tcW w:w="1890" w:type="dxa"/>
                  <w:vAlign w:val="center"/>
                </w:tcPr>
                <w:p w14:paraId="6207F4C9" w14:textId="77777777" w:rsidR="00952368" w:rsidRDefault="001A14BF" w:rsidP="001A14BF">
                  <w:pPr>
                    <w:tabs>
                      <w:tab w:val="left" w:pos="2160"/>
                      <w:tab w:val="left" w:pos="2790"/>
                    </w:tabs>
                    <w:jc w:val="center"/>
                    <w:rPr>
                      <w:rFonts w:asciiTheme="majorHAnsi" w:hAnsiTheme="majorHAnsi"/>
                      <w:b/>
                      <w:sz w:val="22"/>
                      <w:szCs w:val="22"/>
                    </w:rPr>
                  </w:pPr>
                  <w:r w:rsidRPr="006C5B34">
                    <w:rPr>
                      <w:rFonts w:asciiTheme="majorHAnsi" w:hAnsiTheme="majorHAnsi"/>
                      <w:b/>
                      <w:sz w:val="22"/>
                      <w:szCs w:val="22"/>
                    </w:rPr>
                    <w:t>Adjoa Asamoah</w:t>
                  </w:r>
                </w:p>
                <w:p w14:paraId="3D58164B" w14:textId="5E9620AC" w:rsidR="00FA736E" w:rsidRPr="006C5B34" w:rsidRDefault="00FA736E" w:rsidP="001A14BF">
                  <w:pPr>
                    <w:tabs>
                      <w:tab w:val="left" w:pos="2160"/>
                      <w:tab w:val="left" w:pos="2790"/>
                    </w:tabs>
                    <w:jc w:val="center"/>
                    <w:rPr>
                      <w:rFonts w:asciiTheme="majorHAnsi" w:hAnsiTheme="majorHAnsi"/>
                      <w:b/>
                      <w:sz w:val="22"/>
                      <w:szCs w:val="22"/>
                    </w:rPr>
                  </w:pPr>
                </w:p>
              </w:tc>
            </w:tr>
          </w:tbl>
          <w:p w14:paraId="232E3C51" w14:textId="77777777" w:rsidR="00952368" w:rsidRPr="00FF6F92" w:rsidRDefault="00952368" w:rsidP="00805113">
            <w:pPr>
              <w:tabs>
                <w:tab w:val="left" w:pos="2160"/>
                <w:tab w:val="left" w:pos="2790"/>
              </w:tabs>
              <w:rPr>
                <w:b/>
                <w:sz w:val="23"/>
                <w:szCs w:val="23"/>
              </w:rPr>
            </w:pPr>
          </w:p>
        </w:tc>
      </w:tr>
    </w:tbl>
    <w:p w14:paraId="7BE6EC98" w14:textId="77777777" w:rsidR="00DC0A67" w:rsidRPr="00FF6F92" w:rsidRDefault="00DC0A67" w:rsidP="00805113">
      <w:pPr>
        <w:rPr>
          <w:sz w:val="23"/>
          <w:szCs w:val="23"/>
        </w:rPr>
      </w:pPr>
    </w:p>
    <w:sectPr w:rsidR="00DC0A67" w:rsidRPr="00FF6F92" w:rsidSect="00C9439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ACB0" w14:textId="77777777" w:rsidR="00744516" w:rsidRDefault="00744516" w:rsidP="000518D6">
      <w:r>
        <w:separator/>
      </w:r>
    </w:p>
  </w:endnote>
  <w:endnote w:type="continuationSeparator" w:id="0">
    <w:p w14:paraId="18AA6718" w14:textId="77777777" w:rsidR="00744516" w:rsidRDefault="0074451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16AA" w14:textId="77777777" w:rsidR="00DB0B92" w:rsidRDefault="00DB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2B16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886FED" w:rsidRPr="00450108">
      <w:rPr>
        <w:rStyle w:val="field-content"/>
        <w:rFonts w:asciiTheme="majorHAnsi" w:eastAsia="Times New Roman" w:hAnsiTheme="majorHAnsi" w:cs="Times New Roman"/>
        <w:sz w:val="20"/>
        <w:szCs w:val="20"/>
      </w:rPr>
      <w:t xml:space="preserve">810 </w:t>
    </w:r>
    <w:r w:rsidR="00886FED">
      <w:rPr>
        <w:rStyle w:val="field-content"/>
        <w:rFonts w:asciiTheme="majorHAnsi" w:eastAsia="Times New Roman" w:hAnsiTheme="majorHAnsi" w:cs="Times New Roman"/>
        <w:sz w:val="20"/>
        <w:szCs w:val="20"/>
      </w:rPr>
      <w:t>First</w:t>
    </w:r>
    <w:r w:rsidR="00886FED" w:rsidRPr="00450108">
      <w:rPr>
        <w:rStyle w:val="field-content"/>
        <w:rFonts w:asciiTheme="majorHAnsi" w:eastAsia="Times New Roman" w:hAnsiTheme="majorHAnsi" w:cs="Times New Roman"/>
        <w:sz w:val="20"/>
        <w:szCs w:val="20"/>
      </w:rPr>
      <w:t xml:space="preserve"> St</w:t>
    </w:r>
    <w:r w:rsidR="00886FED">
      <w:rPr>
        <w:rStyle w:val="field-content"/>
        <w:rFonts w:asciiTheme="majorHAnsi" w:eastAsia="Times New Roman" w:hAnsiTheme="majorHAnsi" w:cs="Times New Roman"/>
        <w:sz w:val="20"/>
        <w:szCs w:val="20"/>
      </w:rPr>
      <w:t xml:space="preserve">. NE, Ninth </w:t>
    </w:r>
    <w:r w:rsidR="00886FED" w:rsidRPr="00450108">
      <w:rPr>
        <w:rStyle w:val="field-content"/>
        <w:rFonts w:asciiTheme="majorHAnsi" w:eastAsia="Times New Roman" w:hAnsiTheme="majorHAnsi" w:cs="Times New Roman"/>
        <w:sz w:val="20"/>
        <w:szCs w:val="20"/>
      </w:rPr>
      <w:t>Floor, Washington, DC 20002 • Phone: (202) 727-6436 TTY: 711 • osse.dc.go</w:t>
    </w:r>
    <w:r w:rsidRPr="00E66E34">
      <w:rPr>
        <w:rStyle w:val="field-content"/>
        <w:rFonts w:asciiTheme="majorHAnsi" w:eastAsia="Times New Roman" w:hAnsiTheme="majorHAnsi" w:cs="Times New Roman"/>
        <w:sz w:val="20"/>
        <w:szCs w:val="20"/>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77777777"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BA729"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450108">
      <w:rPr>
        <w:rStyle w:val="field-content"/>
        <w:rFonts w:asciiTheme="majorHAnsi" w:eastAsia="Times New Roman" w:hAnsiTheme="majorHAnsi" w:cs="Times New Roman"/>
        <w:sz w:val="20"/>
        <w:szCs w:val="20"/>
      </w:rPr>
      <w:t xml:space="preserve">810 </w:t>
    </w:r>
    <w:r w:rsidR="00B415C5">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sidR="00B415C5">
      <w:rPr>
        <w:rStyle w:val="field-content"/>
        <w:rFonts w:asciiTheme="majorHAnsi" w:eastAsia="Times New Roman" w:hAnsiTheme="majorHAnsi" w:cs="Times New Roman"/>
        <w:sz w:val="20"/>
        <w:szCs w:val="20"/>
      </w:rPr>
      <w:t xml:space="preserve">. NE, Ninth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BC65" w14:textId="77777777" w:rsidR="00744516" w:rsidRDefault="00744516" w:rsidP="000518D6">
      <w:r>
        <w:separator/>
      </w:r>
    </w:p>
  </w:footnote>
  <w:footnote w:type="continuationSeparator" w:id="0">
    <w:p w14:paraId="14E91598" w14:textId="77777777" w:rsidR="00744516" w:rsidRDefault="00744516"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69F5" w14:textId="0391B054" w:rsidR="00DB0B92" w:rsidRDefault="008A1EAF">
    <w:pPr>
      <w:pStyle w:val="Header"/>
    </w:pPr>
    <w:r>
      <w:rPr>
        <w:noProof/>
      </w:rPr>
      <w:pict w14:anchorId="0F9C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543" o:spid="_x0000_s2050"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FB6D" w14:textId="0F9FC0A2" w:rsidR="00DB0B92" w:rsidRDefault="008A1EAF">
    <w:pPr>
      <w:pStyle w:val="Header"/>
    </w:pPr>
    <w:r>
      <w:rPr>
        <w:noProof/>
      </w:rPr>
      <w:pict w14:anchorId="0FC4E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544" o:spid="_x0000_s2051"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502AD06B" w:rsidR="00721414" w:rsidRDefault="008A1EAF">
    <w:pPr>
      <w:pStyle w:val="Header"/>
    </w:pPr>
    <w:r>
      <w:rPr>
        <w:noProof/>
      </w:rPr>
      <w:pict w14:anchorId="552D9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542" o:spid="_x0000_s2049"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91DEF">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344"/>
    <w:multiLevelType w:val="hybridMultilevel"/>
    <w:tmpl w:val="240E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3722"/>
    <w:multiLevelType w:val="hybridMultilevel"/>
    <w:tmpl w:val="A6361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3684"/>
    <w:multiLevelType w:val="hybridMultilevel"/>
    <w:tmpl w:val="857EC70C"/>
    <w:lvl w:ilvl="0" w:tplc="8CF0349A">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A649CC"/>
    <w:multiLevelType w:val="hybridMultilevel"/>
    <w:tmpl w:val="92625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0B6E"/>
    <w:multiLevelType w:val="hybridMultilevel"/>
    <w:tmpl w:val="33FC9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E5778"/>
    <w:multiLevelType w:val="hybridMultilevel"/>
    <w:tmpl w:val="D6BCA216"/>
    <w:lvl w:ilvl="0" w:tplc="B86CBB0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2FAF"/>
    <w:multiLevelType w:val="hybridMultilevel"/>
    <w:tmpl w:val="3508D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80D37"/>
    <w:multiLevelType w:val="hybridMultilevel"/>
    <w:tmpl w:val="9F88D2E8"/>
    <w:lvl w:ilvl="0" w:tplc="E7CAB95C">
      <w:numFmt w:val="bullet"/>
      <w:lvlText w:val="·"/>
      <w:lvlJc w:val="left"/>
      <w:pPr>
        <w:ind w:left="1335" w:hanging="615"/>
      </w:pPr>
      <w:rPr>
        <w:rFonts w:ascii="Times New Roman" w:eastAsia="Calibri" w:hAnsi="Times New Roman" w:cs="Times New Roman" w:hint="default"/>
      </w:rPr>
    </w:lvl>
    <w:lvl w:ilvl="1" w:tplc="C4F47040">
      <w:numFmt w:val="bullet"/>
      <w:lvlText w:val=""/>
      <w:lvlJc w:val="left"/>
      <w:pPr>
        <w:ind w:left="1800" w:hanging="360"/>
      </w:pPr>
      <w:rPr>
        <w:rFonts w:ascii="Symbol" w:eastAsia="Calibr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5028D5"/>
    <w:multiLevelType w:val="hybridMultilevel"/>
    <w:tmpl w:val="0DA4D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3203"/>
    <w:multiLevelType w:val="hybridMultilevel"/>
    <w:tmpl w:val="D2886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449A8"/>
    <w:multiLevelType w:val="hybridMultilevel"/>
    <w:tmpl w:val="39560C2C"/>
    <w:lvl w:ilvl="0" w:tplc="04090003">
      <w:start w:val="1"/>
      <w:numFmt w:val="bullet"/>
      <w:lvlText w:val="o"/>
      <w:lvlJc w:val="left"/>
      <w:pPr>
        <w:ind w:left="1335" w:hanging="61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73A93"/>
    <w:multiLevelType w:val="hybridMultilevel"/>
    <w:tmpl w:val="C8DC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24BA2"/>
    <w:multiLevelType w:val="hybridMultilevel"/>
    <w:tmpl w:val="9C1C66A0"/>
    <w:lvl w:ilvl="0" w:tplc="E7CAB95C">
      <w:numFmt w:val="bullet"/>
      <w:lvlText w:val="·"/>
      <w:lvlJc w:val="left"/>
      <w:pPr>
        <w:ind w:left="1335" w:hanging="6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9"/>
  </w:num>
  <w:num w:numId="6">
    <w:abstractNumId w:val="5"/>
  </w:num>
  <w:num w:numId="7">
    <w:abstractNumId w:val="7"/>
  </w:num>
  <w:num w:numId="8">
    <w:abstractNumId w:val="12"/>
  </w:num>
  <w:num w:numId="9">
    <w:abstractNumId w:val="10"/>
  </w:num>
  <w:num w:numId="10">
    <w:abstractNumId w:val="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4744E"/>
    <w:rsid w:val="000518D6"/>
    <w:rsid w:val="000679DB"/>
    <w:rsid w:val="00090F9F"/>
    <w:rsid w:val="000913DA"/>
    <w:rsid w:val="000D7E2A"/>
    <w:rsid w:val="00102AC5"/>
    <w:rsid w:val="0011121C"/>
    <w:rsid w:val="001174EE"/>
    <w:rsid w:val="00184779"/>
    <w:rsid w:val="00191ECC"/>
    <w:rsid w:val="001A14BF"/>
    <w:rsid w:val="001D33E2"/>
    <w:rsid w:val="001F4A3C"/>
    <w:rsid w:val="00213E5D"/>
    <w:rsid w:val="002344CE"/>
    <w:rsid w:val="00242170"/>
    <w:rsid w:val="002500AE"/>
    <w:rsid w:val="0028219A"/>
    <w:rsid w:val="002F7E8C"/>
    <w:rsid w:val="0033206F"/>
    <w:rsid w:val="003A456F"/>
    <w:rsid w:val="003B2BA0"/>
    <w:rsid w:val="003E1EA6"/>
    <w:rsid w:val="003F0E38"/>
    <w:rsid w:val="003F2EF9"/>
    <w:rsid w:val="003F4CD4"/>
    <w:rsid w:val="00423181"/>
    <w:rsid w:val="00446602"/>
    <w:rsid w:val="00450108"/>
    <w:rsid w:val="0045365E"/>
    <w:rsid w:val="00456196"/>
    <w:rsid w:val="00461114"/>
    <w:rsid w:val="00464ACC"/>
    <w:rsid w:val="00467AD7"/>
    <w:rsid w:val="004D1068"/>
    <w:rsid w:val="004E6D87"/>
    <w:rsid w:val="00553B3A"/>
    <w:rsid w:val="00587358"/>
    <w:rsid w:val="005D347A"/>
    <w:rsid w:val="005F1A25"/>
    <w:rsid w:val="00623E10"/>
    <w:rsid w:val="006255E2"/>
    <w:rsid w:val="006353D3"/>
    <w:rsid w:val="0068599D"/>
    <w:rsid w:val="006C0B08"/>
    <w:rsid w:val="006C5B34"/>
    <w:rsid w:val="007027A2"/>
    <w:rsid w:val="007103BE"/>
    <w:rsid w:val="00721414"/>
    <w:rsid w:val="00741921"/>
    <w:rsid w:val="00744516"/>
    <w:rsid w:val="007501F4"/>
    <w:rsid w:val="00785912"/>
    <w:rsid w:val="00791DEF"/>
    <w:rsid w:val="007B121D"/>
    <w:rsid w:val="007B70BD"/>
    <w:rsid w:val="007E4CAE"/>
    <w:rsid w:val="007E5C75"/>
    <w:rsid w:val="007E63A4"/>
    <w:rsid w:val="00805113"/>
    <w:rsid w:val="00811319"/>
    <w:rsid w:val="00830FD8"/>
    <w:rsid w:val="00836AF7"/>
    <w:rsid w:val="00886FED"/>
    <w:rsid w:val="008A1EAF"/>
    <w:rsid w:val="008D0BA5"/>
    <w:rsid w:val="008E3FD9"/>
    <w:rsid w:val="008E7F4E"/>
    <w:rsid w:val="008F33C4"/>
    <w:rsid w:val="009209F3"/>
    <w:rsid w:val="00952368"/>
    <w:rsid w:val="00953755"/>
    <w:rsid w:val="00970016"/>
    <w:rsid w:val="009C5B54"/>
    <w:rsid w:val="009C6295"/>
    <w:rsid w:val="009E1C9E"/>
    <w:rsid w:val="00A25E8B"/>
    <w:rsid w:val="00A57158"/>
    <w:rsid w:val="00A77A7C"/>
    <w:rsid w:val="00A8329F"/>
    <w:rsid w:val="00A93144"/>
    <w:rsid w:val="00AA5BEB"/>
    <w:rsid w:val="00AA658F"/>
    <w:rsid w:val="00AF1210"/>
    <w:rsid w:val="00B02660"/>
    <w:rsid w:val="00B311D4"/>
    <w:rsid w:val="00B415C5"/>
    <w:rsid w:val="00B57FF0"/>
    <w:rsid w:val="00B64BB6"/>
    <w:rsid w:val="00B92970"/>
    <w:rsid w:val="00BA195F"/>
    <w:rsid w:val="00BC213F"/>
    <w:rsid w:val="00BF7470"/>
    <w:rsid w:val="00C13609"/>
    <w:rsid w:val="00C20F13"/>
    <w:rsid w:val="00C25D76"/>
    <w:rsid w:val="00C622EF"/>
    <w:rsid w:val="00C9439F"/>
    <w:rsid w:val="00C97C69"/>
    <w:rsid w:val="00CA3D61"/>
    <w:rsid w:val="00CB0F84"/>
    <w:rsid w:val="00CD2919"/>
    <w:rsid w:val="00CD4897"/>
    <w:rsid w:val="00CD5720"/>
    <w:rsid w:val="00D101CA"/>
    <w:rsid w:val="00D368F4"/>
    <w:rsid w:val="00D36E39"/>
    <w:rsid w:val="00DA7BF0"/>
    <w:rsid w:val="00DB0B92"/>
    <w:rsid w:val="00DC0A67"/>
    <w:rsid w:val="00DD07B6"/>
    <w:rsid w:val="00DD3ECF"/>
    <w:rsid w:val="00E07DE8"/>
    <w:rsid w:val="00E40506"/>
    <w:rsid w:val="00E541EE"/>
    <w:rsid w:val="00E618C0"/>
    <w:rsid w:val="00E66E34"/>
    <w:rsid w:val="00E84303"/>
    <w:rsid w:val="00E85E06"/>
    <w:rsid w:val="00EB6C3E"/>
    <w:rsid w:val="00EE3783"/>
    <w:rsid w:val="00F11707"/>
    <w:rsid w:val="00F213E9"/>
    <w:rsid w:val="00F930F9"/>
    <w:rsid w:val="00FA736E"/>
    <w:rsid w:val="00FA7DA5"/>
    <w:rsid w:val="00FC41FC"/>
    <w:rsid w:val="00FE1A77"/>
    <w:rsid w:val="00FE78D7"/>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C33175"/>
  <w14:defaultImageDpi w14:val="300"/>
  <w15:docId w15:val="{E16D4736-AECD-4BB2-945F-6EDB019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952368"/>
    <w:pPr>
      <w:ind w:left="720"/>
      <w:contextualSpacing/>
    </w:pPr>
    <w:rPr>
      <w:rFonts w:ascii="Times New Roman" w:eastAsia="Calibri" w:hAnsi="Times New Roman" w:cs="Times New Roman"/>
      <w:sz w:val="22"/>
      <w:szCs w:val="22"/>
    </w:rPr>
  </w:style>
  <w:style w:type="table" w:styleId="TableGrid">
    <w:name w:val="Table Grid"/>
    <w:basedOn w:val="TableNormal"/>
    <w:uiPriority w:val="59"/>
    <w:rsid w:val="0095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C3E"/>
    <w:rPr>
      <w:sz w:val="16"/>
      <w:szCs w:val="16"/>
    </w:rPr>
  </w:style>
  <w:style w:type="paragraph" w:styleId="CommentText">
    <w:name w:val="annotation text"/>
    <w:basedOn w:val="Normal"/>
    <w:link w:val="CommentTextChar"/>
    <w:uiPriority w:val="99"/>
    <w:semiHidden/>
    <w:unhideWhenUsed/>
    <w:rsid w:val="00EB6C3E"/>
    <w:rPr>
      <w:sz w:val="20"/>
      <w:szCs w:val="20"/>
    </w:rPr>
  </w:style>
  <w:style w:type="character" w:customStyle="1" w:styleId="CommentTextChar">
    <w:name w:val="Comment Text Char"/>
    <w:basedOn w:val="DefaultParagraphFont"/>
    <w:link w:val="CommentText"/>
    <w:uiPriority w:val="99"/>
    <w:semiHidden/>
    <w:rsid w:val="00EB6C3E"/>
    <w:rPr>
      <w:sz w:val="20"/>
      <w:szCs w:val="20"/>
    </w:rPr>
  </w:style>
  <w:style w:type="paragraph" w:styleId="CommentSubject">
    <w:name w:val="annotation subject"/>
    <w:basedOn w:val="CommentText"/>
    <w:next w:val="CommentText"/>
    <w:link w:val="CommentSubjectChar"/>
    <w:uiPriority w:val="99"/>
    <w:semiHidden/>
    <w:unhideWhenUsed/>
    <w:rsid w:val="00EB6C3E"/>
    <w:rPr>
      <w:b/>
      <w:bCs/>
    </w:rPr>
  </w:style>
  <w:style w:type="character" w:customStyle="1" w:styleId="CommentSubjectChar">
    <w:name w:val="Comment Subject Char"/>
    <w:basedOn w:val="CommentTextChar"/>
    <w:link w:val="CommentSubject"/>
    <w:uiPriority w:val="99"/>
    <w:semiHidden/>
    <w:rsid w:val="00EB6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489">
      <w:bodyDiv w:val="1"/>
      <w:marLeft w:val="0"/>
      <w:marRight w:val="0"/>
      <w:marTop w:val="0"/>
      <w:marBottom w:val="0"/>
      <w:divBdr>
        <w:top w:val="none" w:sz="0" w:space="0" w:color="auto"/>
        <w:left w:val="none" w:sz="0" w:space="0" w:color="auto"/>
        <w:bottom w:val="none" w:sz="0" w:space="0" w:color="auto"/>
        <w:right w:val="none" w:sz="0" w:space="0" w:color="auto"/>
      </w:divBdr>
    </w:div>
    <w:div w:id="995306878">
      <w:bodyDiv w:val="1"/>
      <w:marLeft w:val="0"/>
      <w:marRight w:val="0"/>
      <w:marTop w:val="0"/>
      <w:marBottom w:val="0"/>
      <w:divBdr>
        <w:top w:val="none" w:sz="0" w:space="0" w:color="auto"/>
        <w:left w:val="none" w:sz="0" w:space="0" w:color="auto"/>
        <w:bottom w:val="none" w:sz="0" w:space="0" w:color="auto"/>
        <w:right w:val="none" w:sz="0" w:space="0" w:color="auto"/>
      </w:divBdr>
    </w:div>
    <w:div w:id="1098603939">
      <w:bodyDiv w:val="1"/>
      <w:marLeft w:val="0"/>
      <w:marRight w:val="0"/>
      <w:marTop w:val="0"/>
      <w:marBottom w:val="0"/>
      <w:divBdr>
        <w:top w:val="none" w:sz="0" w:space="0" w:color="auto"/>
        <w:left w:val="none" w:sz="0" w:space="0" w:color="auto"/>
        <w:bottom w:val="none" w:sz="0" w:space="0" w:color="auto"/>
        <w:right w:val="none" w:sz="0" w:space="0" w:color="auto"/>
      </w:divBdr>
    </w:div>
    <w:div w:id="2064671173">
      <w:bodyDiv w:val="1"/>
      <w:marLeft w:val="0"/>
      <w:marRight w:val="0"/>
      <w:marTop w:val="0"/>
      <w:marBottom w:val="0"/>
      <w:divBdr>
        <w:top w:val="none" w:sz="0" w:space="0" w:color="auto"/>
        <w:left w:val="none" w:sz="0" w:space="0" w:color="auto"/>
        <w:bottom w:val="none" w:sz="0" w:space="0" w:color="auto"/>
        <w:right w:val="none" w:sz="0" w:space="0" w:color="auto"/>
      </w:divBdr>
    </w:div>
    <w:div w:id="2070113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node/12539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se.dc.gov/es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175468f-1d1a-4c06-8ad5-ba5636890b24"/>
    <ds:schemaRef ds:uri="http://www.w3.org/XML/1998/namespace"/>
  </ds:schemaRefs>
</ds:datastoreItem>
</file>

<file path=customXml/itemProps4.xml><?xml version="1.0" encoding="utf-8"?>
<ds:datastoreItem xmlns:ds="http://schemas.openxmlformats.org/officeDocument/2006/customXml" ds:itemID="{1BD1A736-8B17-4C8C-86FB-23BBD7E2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Elkin, Jonathan (OSSE)</cp:lastModifiedBy>
  <cp:revision>7</cp:revision>
  <cp:lastPrinted>2016-02-10T14:34:00Z</cp:lastPrinted>
  <dcterms:created xsi:type="dcterms:W3CDTF">2017-09-01T13:34:00Z</dcterms:created>
  <dcterms:modified xsi:type="dcterms:W3CDTF">2017-09-05T20:59:00Z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