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9D" w:rsidRPr="0027569D" w:rsidRDefault="0027569D" w:rsidP="00E277E7">
      <w:pPr>
        <w:rPr>
          <w:sz w:val="16"/>
          <w:szCs w:val="16"/>
        </w:rPr>
      </w:pPr>
    </w:p>
    <w:p w:rsidR="00092357" w:rsidRDefault="00A73B52" w:rsidP="00E277E7">
      <w:pPr>
        <w:rPr>
          <w:b/>
          <w:u w:val="single"/>
        </w:rPr>
      </w:pPr>
      <w:bookmarkStart w:id="0" w:name="_GoBack"/>
      <w:r w:rsidRPr="00A73B52">
        <w:rPr>
          <w:b/>
          <w:u w:val="single"/>
        </w:rPr>
        <w:t xml:space="preserve">2015 </w:t>
      </w:r>
      <w:r w:rsidR="00AE11F0" w:rsidRPr="00A73B52">
        <w:rPr>
          <w:b/>
          <w:u w:val="single"/>
        </w:rPr>
        <w:t>DC PARCC</w:t>
      </w:r>
      <w:r w:rsidR="00092357">
        <w:rPr>
          <w:b/>
          <w:u w:val="single"/>
        </w:rPr>
        <w:t xml:space="preserve"> Performance Based Assessment (PBA)</w:t>
      </w:r>
      <w:r w:rsidR="00AE11F0" w:rsidRPr="00A73B52">
        <w:rPr>
          <w:b/>
          <w:u w:val="single"/>
        </w:rPr>
        <w:t xml:space="preserve"> </w:t>
      </w:r>
      <w:r w:rsidR="00544EDC">
        <w:rPr>
          <w:b/>
          <w:u w:val="single"/>
        </w:rPr>
        <w:t>Close</w:t>
      </w:r>
      <w:r w:rsidR="008E61C0">
        <w:rPr>
          <w:b/>
          <w:u w:val="single"/>
        </w:rPr>
        <w:t>-</w:t>
      </w:r>
      <w:r w:rsidR="00544EDC">
        <w:rPr>
          <w:b/>
          <w:u w:val="single"/>
        </w:rPr>
        <w:t xml:space="preserve">Out </w:t>
      </w:r>
      <w:r w:rsidR="00AE11F0" w:rsidRPr="00A73B52">
        <w:rPr>
          <w:b/>
          <w:u w:val="single"/>
        </w:rPr>
        <w:t>Checklist</w:t>
      </w:r>
      <w:r w:rsidR="00A40825" w:rsidRPr="00A73B52">
        <w:rPr>
          <w:b/>
          <w:u w:val="single"/>
        </w:rPr>
        <w:t xml:space="preserve">: </w:t>
      </w:r>
    </w:p>
    <w:bookmarkEnd w:id="0"/>
    <w:p w:rsidR="00AA2B16" w:rsidRPr="00E277E7" w:rsidRDefault="00A40825" w:rsidP="00E277E7">
      <w:pPr>
        <w:rPr>
          <w:b/>
          <w:color w:val="808080" w:themeColor="background1" w:themeShade="80"/>
        </w:rPr>
      </w:pPr>
      <w:r w:rsidRPr="00E277E7">
        <w:rPr>
          <w:b/>
          <w:color w:val="808080" w:themeColor="background1" w:themeShade="80"/>
        </w:rPr>
        <w:t>Computer-Based Tests</w:t>
      </w:r>
    </w:p>
    <w:p w:rsidR="00A3504C" w:rsidRDefault="00A3504C" w:rsidP="00A3504C">
      <w:pPr>
        <w:rPr>
          <w:b/>
          <w:i/>
        </w:rPr>
      </w:pPr>
      <w:r>
        <w:rPr>
          <w:b/>
          <w:i/>
        </w:rPr>
        <w:t>After</w:t>
      </w:r>
      <w:r w:rsidRPr="00082314">
        <w:rPr>
          <w:b/>
          <w:i/>
        </w:rPr>
        <w:t xml:space="preserve"> </w:t>
      </w:r>
      <w:r>
        <w:rPr>
          <w:b/>
          <w:i/>
        </w:rPr>
        <w:t>the final test unit is complete</w:t>
      </w:r>
      <w:r w:rsidRPr="00082314">
        <w:rPr>
          <w:b/>
          <w:i/>
        </w:rPr>
        <w:t>…</w:t>
      </w:r>
    </w:p>
    <w:p w:rsidR="00A3504C" w:rsidRDefault="00A3504C" w:rsidP="00A3504C">
      <w:pPr>
        <w:pStyle w:val="ListParagraph"/>
        <w:numPr>
          <w:ilvl w:val="0"/>
          <w:numId w:val="18"/>
        </w:numPr>
      </w:pPr>
      <w:r w:rsidRPr="00082314">
        <w:t>Verify</w:t>
      </w:r>
      <w:r>
        <w:t xml:space="preserve"> and log on the tracking form</w:t>
      </w:r>
      <w:r w:rsidRPr="00082314">
        <w:t xml:space="preserve"> that all secure materials</w:t>
      </w:r>
      <w:r>
        <w:t>, including all student test tickets and used scrap paper</w:t>
      </w:r>
      <w:r w:rsidRPr="00082314">
        <w:t xml:space="preserve"> have been returned</w:t>
      </w:r>
      <w:r w:rsidR="00966752">
        <w:t xml:space="preserve"> to the School Test Coordinator</w:t>
      </w:r>
      <w:r w:rsidRPr="00082314">
        <w:t>.</w:t>
      </w:r>
    </w:p>
    <w:p w:rsidR="00A3504C" w:rsidRDefault="00A3504C" w:rsidP="00A3504C">
      <w:pPr>
        <w:pStyle w:val="ListParagraph"/>
        <w:numPr>
          <w:ilvl w:val="0"/>
          <w:numId w:val="18"/>
        </w:numPr>
      </w:pPr>
      <w:r>
        <w:t xml:space="preserve">Ensure that all student tests are in the status “complete” or “marked complete”, and all test sessions have been closed in Pearson Access Next. </w:t>
      </w:r>
      <w:r>
        <w:rPr>
          <w:b/>
        </w:rPr>
        <w:t xml:space="preserve">Only test attempts in complete or marked complete status will be scored. </w:t>
      </w:r>
      <w:r>
        <w:t xml:space="preserve">For demonstrations of how to mark complete, see pages 10-11 of the guidance here: </w:t>
      </w:r>
      <w:hyperlink r:id="rId8" w:anchor="7431" w:history="1">
        <w:r w:rsidRPr="00CD4B93">
          <w:rPr>
            <w:rStyle w:val="Hyperlink"/>
          </w:rPr>
          <w:t>http://avocet.pearson.com/PARCC/Home#7431</w:t>
        </w:r>
      </w:hyperlink>
      <w:r>
        <w:t xml:space="preserve"> </w:t>
      </w:r>
    </w:p>
    <w:p w:rsidR="00A3504C" w:rsidRDefault="00A3504C" w:rsidP="00A3504C">
      <w:pPr>
        <w:pStyle w:val="ListParagraph"/>
        <w:numPr>
          <w:ilvl w:val="1"/>
          <w:numId w:val="18"/>
        </w:numPr>
      </w:pPr>
      <w:r>
        <w:rPr>
          <w:b/>
        </w:rPr>
        <w:t xml:space="preserve">Note: </w:t>
      </w:r>
      <w:r>
        <w:t xml:space="preserve">For students who did not take the last unit in the test as their final unit (who tested out of order as part of make-up testing), marking complete is the only way to submit tests. </w:t>
      </w:r>
    </w:p>
    <w:p w:rsidR="00A3504C" w:rsidRDefault="00A3504C" w:rsidP="00A3504C">
      <w:pPr>
        <w:pStyle w:val="ListParagraph"/>
        <w:numPr>
          <w:ilvl w:val="1"/>
          <w:numId w:val="18"/>
        </w:numPr>
      </w:pPr>
      <w:r>
        <w:t xml:space="preserve">If it is the end of your testing window, any unfinished tests containing student answers should be marked complete. </w:t>
      </w:r>
    </w:p>
    <w:p w:rsidR="00A3504C" w:rsidRDefault="00A3504C" w:rsidP="00A3504C">
      <w:pPr>
        <w:pStyle w:val="ListParagraph"/>
        <w:numPr>
          <w:ilvl w:val="1"/>
          <w:numId w:val="18"/>
        </w:numPr>
      </w:pPr>
      <w:r>
        <w:t>To check that all tests in sessions are complete or marked complete, you have several options.</w:t>
      </w:r>
    </w:p>
    <w:p w:rsidR="00A3504C" w:rsidRDefault="00A3504C" w:rsidP="00A3504C">
      <w:pPr>
        <w:pStyle w:val="ListParagraph"/>
        <w:numPr>
          <w:ilvl w:val="2"/>
          <w:numId w:val="18"/>
        </w:numPr>
      </w:pPr>
      <w:r>
        <w:t>Under Testing</w:t>
      </w:r>
      <w:r>
        <w:sym w:font="Wingdings" w:char="F0E0"/>
      </w:r>
      <w:r>
        <w:t xml:space="preserve">Students in Sessions, filter tests by student test status to see if any tests are in statuses other than “complete” or “marked complete.” You may choose multiple statuses. See below. When you have that list, be sure any test records with student responses within them are marked complete. </w:t>
      </w:r>
    </w:p>
    <w:p w:rsidR="00A3504C" w:rsidRDefault="00A3504C" w:rsidP="00A3504C">
      <w:pPr>
        <w:pStyle w:val="ListParagraph"/>
        <w:ind w:left="2160"/>
      </w:pPr>
      <w:r>
        <w:t xml:space="preserve">  </w:t>
      </w:r>
      <w:r>
        <w:rPr>
          <w:noProof/>
        </w:rPr>
        <w:drawing>
          <wp:inline distT="0" distB="0" distL="0" distR="0" wp14:anchorId="33A13C74" wp14:editId="4B98FFE3">
            <wp:extent cx="2173857" cy="2682815"/>
            <wp:effectExtent l="19050" t="19050" r="17145" b="228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861" cy="2697630"/>
                    </a:xfrm>
                    <a:prstGeom prst="rect">
                      <a:avLst/>
                    </a:prstGeom>
                    <a:noFill/>
                    <a:ln>
                      <a:solidFill>
                        <a:schemeClr val="tx1"/>
                      </a:solidFill>
                    </a:ln>
                  </pic:spPr>
                </pic:pic>
              </a:graphicData>
            </a:graphic>
          </wp:inline>
        </w:drawing>
      </w:r>
    </w:p>
    <w:p w:rsidR="00A3504C" w:rsidRDefault="00A3504C" w:rsidP="00A3504C">
      <w:pPr>
        <w:pStyle w:val="ListParagraph"/>
        <w:numPr>
          <w:ilvl w:val="0"/>
          <w:numId w:val="22"/>
        </w:numPr>
      </w:pPr>
      <w:r>
        <w:lastRenderedPageBreak/>
        <w:t>Under Reports</w:t>
      </w:r>
      <w:r>
        <w:sym w:font="Wingdings" w:char="F0E0"/>
      </w:r>
      <w:r>
        <w:t>Online Testing, choose Session Roster to generate a report of all tests in sessions and their current status. Use this report to filter for test statuses other than marked complete or complete.</w:t>
      </w:r>
    </w:p>
    <w:p w:rsidR="00A3504C" w:rsidRDefault="00A3504C" w:rsidP="00A3504C">
      <w:r>
        <w:rPr>
          <w:noProof/>
        </w:rPr>
        <w:drawing>
          <wp:inline distT="0" distB="0" distL="0" distR="0" wp14:anchorId="479D87D3" wp14:editId="017073C3">
            <wp:extent cx="5753819" cy="3067050"/>
            <wp:effectExtent l="19050" t="19050" r="1841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819" cy="3067050"/>
                    </a:xfrm>
                    <a:prstGeom prst="rect">
                      <a:avLst/>
                    </a:prstGeom>
                    <a:noFill/>
                    <a:ln>
                      <a:solidFill>
                        <a:schemeClr val="tx1"/>
                      </a:solidFill>
                    </a:ln>
                  </pic:spPr>
                </pic:pic>
              </a:graphicData>
            </a:graphic>
          </wp:inline>
        </w:drawing>
      </w:r>
    </w:p>
    <w:p w:rsidR="00A3504C" w:rsidRDefault="00A3504C" w:rsidP="00A3504C">
      <w:pPr>
        <w:pStyle w:val="ListParagraph"/>
        <w:numPr>
          <w:ilvl w:val="0"/>
          <w:numId w:val="18"/>
        </w:numPr>
      </w:pPr>
      <w:r>
        <w:t xml:space="preserve">Once you have verified that all tests with student answers in them have been complete or parked completed, purge cached test content. See instructions here: </w:t>
      </w:r>
      <w:hyperlink r:id="rId11" w:history="1">
        <w:r w:rsidRPr="00CD4B93">
          <w:rPr>
            <w:rStyle w:val="Hyperlink"/>
          </w:rPr>
          <w:t>https://support.assessment.pearson.com/display/TN/Use+ProctorCache</w:t>
        </w:r>
      </w:hyperlink>
      <w:r>
        <w:t xml:space="preserve"> </w:t>
      </w:r>
    </w:p>
    <w:p w:rsidR="00A3504C" w:rsidRDefault="00A3504C" w:rsidP="00A3504C">
      <w:pPr>
        <w:rPr>
          <w:b/>
          <w:i/>
        </w:rPr>
      </w:pPr>
      <w:r>
        <w:rPr>
          <w:b/>
          <w:i/>
        </w:rPr>
        <w:t>Within one week of final test unit</w:t>
      </w:r>
      <w:r w:rsidRPr="00082314">
        <w:rPr>
          <w:b/>
          <w:i/>
        </w:rPr>
        <w:t>…</w:t>
      </w:r>
    </w:p>
    <w:p w:rsidR="00A3504C" w:rsidRDefault="00A3504C" w:rsidP="00A3504C">
      <w:pPr>
        <w:pStyle w:val="ListParagraph"/>
        <w:numPr>
          <w:ilvl w:val="0"/>
          <w:numId w:val="19"/>
        </w:numPr>
      </w:pPr>
      <w:r>
        <w:t xml:space="preserve">Securely destroy (preferably via shredding and recycling), all used scrap paper, student testing tickets, and printed seal codes. </w:t>
      </w:r>
    </w:p>
    <w:p w:rsidR="00A3504C" w:rsidRDefault="00A3504C" w:rsidP="00A3504C">
      <w:pPr>
        <w:pStyle w:val="ListParagraph"/>
        <w:numPr>
          <w:ilvl w:val="0"/>
          <w:numId w:val="19"/>
        </w:numPr>
      </w:pPr>
      <w:r>
        <w:t xml:space="preserve">Package and ship all used and unused paper </w:t>
      </w:r>
      <w:r w:rsidR="00565AD7">
        <w:t xml:space="preserve">PBA </w:t>
      </w:r>
      <w:r>
        <w:t>test materials according to vendor instructions.</w:t>
      </w:r>
    </w:p>
    <w:p w:rsidR="00A3504C" w:rsidRDefault="00A3504C" w:rsidP="00A3504C">
      <w:pPr>
        <w:pStyle w:val="ListParagraph"/>
        <w:numPr>
          <w:ilvl w:val="0"/>
          <w:numId w:val="19"/>
        </w:numPr>
      </w:pPr>
      <w:r>
        <w:t>Keep all records related to test administration and test security in your school’s security file.</w:t>
      </w:r>
    </w:p>
    <w:p w:rsidR="00A3504C" w:rsidRDefault="00A3504C" w:rsidP="00A3504C">
      <w:pPr>
        <w:pStyle w:val="ListParagraph"/>
        <w:numPr>
          <w:ilvl w:val="0"/>
          <w:numId w:val="19"/>
        </w:numPr>
      </w:pPr>
      <w:r>
        <w:t>Keep all physical manuals on hand as these should be re-used for EOY.</w:t>
      </w:r>
    </w:p>
    <w:p w:rsidR="00A3504C" w:rsidRPr="00082314" w:rsidRDefault="00A3504C" w:rsidP="00A3504C">
      <w:pPr>
        <w:pStyle w:val="ListParagraph"/>
        <w:numPr>
          <w:ilvl w:val="0"/>
          <w:numId w:val="19"/>
        </w:numPr>
      </w:pPr>
      <w:r>
        <w:t xml:space="preserve">LEA Test integrity Coordinators and School Test Monitors must sign and submit DC Test integrity Affidavits available here within 15 days after the conclusion of the PBA: </w:t>
      </w:r>
      <w:hyperlink r:id="rId12" w:history="1">
        <w:r w:rsidRPr="00CD4B93">
          <w:rPr>
            <w:rStyle w:val="Hyperlink"/>
          </w:rPr>
          <w:t>http://osse.dc.gov/sites/default/files/dc/sites/osse/publication/attachments/2015%20Affidavit%20Appendix%20G.pdf</w:t>
        </w:r>
      </w:hyperlink>
      <w:r>
        <w:t xml:space="preserve"> </w:t>
      </w:r>
    </w:p>
    <w:p w:rsidR="00956DBD" w:rsidRDefault="00956DBD" w:rsidP="00956DBD">
      <w:pPr>
        <w:rPr>
          <w:b/>
          <w:color w:val="808080" w:themeColor="background1" w:themeShade="80"/>
        </w:rPr>
      </w:pPr>
      <w:r>
        <w:rPr>
          <w:b/>
          <w:color w:val="808080" w:themeColor="background1" w:themeShade="80"/>
        </w:rPr>
        <w:t>Paper</w:t>
      </w:r>
      <w:r w:rsidRPr="00956DBD">
        <w:rPr>
          <w:b/>
          <w:color w:val="808080" w:themeColor="background1" w:themeShade="80"/>
        </w:rPr>
        <w:t>-Based Tests</w:t>
      </w:r>
    </w:p>
    <w:p w:rsidR="00A3504C" w:rsidRDefault="00A3504C" w:rsidP="00A3504C">
      <w:pPr>
        <w:rPr>
          <w:b/>
          <w:i/>
        </w:rPr>
      </w:pPr>
      <w:r>
        <w:rPr>
          <w:b/>
          <w:i/>
        </w:rPr>
        <w:t>After</w:t>
      </w:r>
      <w:r w:rsidRPr="00082314">
        <w:rPr>
          <w:b/>
          <w:i/>
        </w:rPr>
        <w:t xml:space="preserve"> </w:t>
      </w:r>
      <w:r>
        <w:rPr>
          <w:b/>
          <w:i/>
        </w:rPr>
        <w:t>the final test unit is complete</w:t>
      </w:r>
      <w:r w:rsidRPr="00082314">
        <w:rPr>
          <w:b/>
          <w:i/>
        </w:rPr>
        <w:t>…</w:t>
      </w:r>
    </w:p>
    <w:p w:rsidR="00A3504C" w:rsidRDefault="00A3504C" w:rsidP="00A3504C">
      <w:pPr>
        <w:pStyle w:val="ListParagraph"/>
        <w:numPr>
          <w:ilvl w:val="0"/>
          <w:numId w:val="18"/>
        </w:numPr>
      </w:pPr>
      <w:r w:rsidRPr="00082314">
        <w:t>Verify</w:t>
      </w:r>
      <w:r>
        <w:t xml:space="preserve"> and log on the Chain of Custody form</w:t>
      </w:r>
      <w:r w:rsidRPr="00082314">
        <w:t xml:space="preserve"> that all secure materials</w:t>
      </w:r>
      <w:r>
        <w:t>, including all test booklets and used scrap paper have been returned</w:t>
      </w:r>
      <w:r w:rsidR="00966752">
        <w:t xml:space="preserve"> to the School Test Coordinator</w:t>
      </w:r>
      <w:r>
        <w:t xml:space="preserve">, and that all make up </w:t>
      </w:r>
      <w:r>
        <w:lastRenderedPageBreak/>
        <w:t xml:space="preserve">test sessions have been completed. Make sure all used booklets either have a student ID sticker affixed to them, or all demographic information gridded in. </w:t>
      </w:r>
    </w:p>
    <w:p w:rsidR="00A3504C" w:rsidRDefault="00A3504C" w:rsidP="00A3504C">
      <w:pPr>
        <w:pStyle w:val="ListParagraph"/>
        <w:numPr>
          <w:ilvl w:val="0"/>
          <w:numId w:val="18"/>
        </w:numPr>
      </w:pPr>
      <w:r>
        <w:t xml:space="preserve">Complete the form to report contaminated, damaged or missing materials as needed (available in the Test Coordinator Manual). </w:t>
      </w:r>
    </w:p>
    <w:p w:rsidR="00A3504C" w:rsidRDefault="00A3504C" w:rsidP="00A3504C">
      <w:pPr>
        <w:pStyle w:val="ListParagraph"/>
        <w:numPr>
          <w:ilvl w:val="0"/>
          <w:numId w:val="18"/>
        </w:numPr>
      </w:pPr>
      <w:r>
        <w:t>Verify that you have all the necessary materials to return your materials, including boxes, header sheets, and shipping labels, according to pages 48-56 of the Test Coordinator Manual. If you are missing anything, order it via Pearson Access Next as soon as possible.</w:t>
      </w:r>
    </w:p>
    <w:p w:rsidR="00A3504C" w:rsidRDefault="00A3504C" w:rsidP="00A3504C">
      <w:pPr>
        <w:rPr>
          <w:b/>
          <w:i/>
        </w:rPr>
      </w:pPr>
      <w:r>
        <w:rPr>
          <w:b/>
          <w:i/>
        </w:rPr>
        <w:t>Within one week of final test unit</w:t>
      </w:r>
      <w:r w:rsidRPr="00082314">
        <w:rPr>
          <w:b/>
          <w:i/>
        </w:rPr>
        <w:t>…</w:t>
      </w:r>
    </w:p>
    <w:p w:rsidR="00A3504C" w:rsidRDefault="00A3504C" w:rsidP="00A3504C">
      <w:pPr>
        <w:pStyle w:val="ListParagraph"/>
        <w:numPr>
          <w:ilvl w:val="0"/>
          <w:numId w:val="19"/>
        </w:numPr>
      </w:pPr>
      <w:r>
        <w:t>Organize and Return Test Booklets:</w:t>
      </w:r>
    </w:p>
    <w:p w:rsidR="00A3504C" w:rsidRDefault="00A3504C" w:rsidP="00A3504C">
      <w:pPr>
        <w:pStyle w:val="ListParagraph"/>
        <w:numPr>
          <w:ilvl w:val="1"/>
          <w:numId w:val="19"/>
        </w:numPr>
      </w:pPr>
      <w:r>
        <w:t xml:space="preserve">Complete the Used Test Booklet Return header for each course and band together used booklets using the PARCC supplied paper bands. </w:t>
      </w:r>
    </w:p>
    <w:p w:rsidR="00A3504C" w:rsidRDefault="00A3504C" w:rsidP="00A3504C">
      <w:pPr>
        <w:pStyle w:val="ListParagraph"/>
        <w:numPr>
          <w:ilvl w:val="1"/>
          <w:numId w:val="19"/>
        </w:numPr>
      </w:pPr>
      <w:r>
        <w:t xml:space="preserve">Assemble, seal and label boxes for return shipment, as explained in pages 48-56 of the Test Coordinator Manual. </w:t>
      </w:r>
      <w:r>
        <w:rPr>
          <w:b/>
        </w:rPr>
        <w:t xml:space="preserve">Note: </w:t>
      </w:r>
      <w:proofErr w:type="spellStart"/>
      <w:r>
        <w:t>Scorable</w:t>
      </w:r>
      <w:proofErr w:type="spellEnd"/>
      <w:r>
        <w:t xml:space="preserve"> and non-</w:t>
      </w:r>
      <w:proofErr w:type="spellStart"/>
      <w:r>
        <w:t>scorable</w:t>
      </w:r>
      <w:proofErr w:type="spellEnd"/>
      <w:r>
        <w:t xml:space="preserve"> materials should be packed and mailed separately, as they go to different locations. </w:t>
      </w:r>
    </w:p>
    <w:p w:rsidR="00A3504C" w:rsidRDefault="00A3504C" w:rsidP="00A3504C">
      <w:pPr>
        <w:pStyle w:val="ListParagraph"/>
        <w:numPr>
          <w:ilvl w:val="1"/>
          <w:numId w:val="19"/>
        </w:numPr>
      </w:pPr>
      <w:r>
        <w:t xml:space="preserve">Scrap paper, math reference sheets and test manuals should </w:t>
      </w:r>
      <w:r>
        <w:rPr>
          <w:b/>
        </w:rPr>
        <w:t xml:space="preserve">NOT </w:t>
      </w:r>
      <w:r>
        <w:t xml:space="preserve">be returned to the vendor. See instructions below. </w:t>
      </w:r>
    </w:p>
    <w:p w:rsidR="00A3504C" w:rsidRDefault="00A3504C" w:rsidP="00A3504C">
      <w:pPr>
        <w:pStyle w:val="ListParagraph"/>
        <w:numPr>
          <w:ilvl w:val="1"/>
          <w:numId w:val="19"/>
        </w:numPr>
      </w:pPr>
      <w:r>
        <w:t>Contact UPS to schedule materials return pickup.</w:t>
      </w:r>
    </w:p>
    <w:p w:rsidR="00A3504C" w:rsidRDefault="00A3504C" w:rsidP="00A3504C">
      <w:pPr>
        <w:pStyle w:val="ListParagraph"/>
        <w:numPr>
          <w:ilvl w:val="0"/>
          <w:numId w:val="19"/>
        </w:numPr>
      </w:pPr>
      <w:r>
        <w:t>Securely destroy (preferably via shredding and recycling)</w:t>
      </w:r>
      <w:proofErr w:type="gramStart"/>
      <w:r>
        <w:t>,</w:t>
      </w:r>
      <w:proofErr w:type="gramEnd"/>
      <w:r>
        <w:t xml:space="preserve"> all used scrap paper and paper math reference sheets. </w:t>
      </w:r>
    </w:p>
    <w:p w:rsidR="00A3504C" w:rsidRDefault="00A3504C" w:rsidP="00A3504C">
      <w:pPr>
        <w:pStyle w:val="ListParagraph"/>
        <w:numPr>
          <w:ilvl w:val="0"/>
          <w:numId w:val="19"/>
        </w:numPr>
      </w:pPr>
      <w:r>
        <w:t>Keep all records related to test administration and test security in your school’s security file.</w:t>
      </w:r>
    </w:p>
    <w:p w:rsidR="00A3504C" w:rsidRDefault="00A3504C" w:rsidP="00A3504C">
      <w:pPr>
        <w:pStyle w:val="ListParagraph"/>
        <w:numPr>
          <w:ilvl w:val="0"/>
          <w:numId w:val="19"/>
        </w:numPr>
      </w:pPr>
      <w:r>
        <w:t>Keep all manuals on hand as these should be re-used for EOY.</w:t>
      </w:r>
    </w:p>
    <w:p w:rsidR="00956DBD" w:rsidRDefault="00A3504C" w:rsidP="00956DBD">
      <w:pPr>
        <w:pStyle w:val="ListParagraph"/>
        <w:numPr>
          <w:ilvl w:val="0"/>
          <w:numId w:val="19"/>
        </w:numPr>
      </w:pPr>
      <w:r>
        <w:t xml:space="preserve">LEA Test integrity Coordinators and School Test Monitors must sign and submit DC Test integrity Affidavits available here within 15 days after the conclusion of the PBA: </w:t>
      </w:r>
      <w:hyperlink r:id="rId13" w:history="1">
        <w:r w:rsidRPr="00CD4B93">
          <w:rPr>
            <w:rStyle w:val="Hyperlink"/>
          </w:rPr>
          <w:t>http://osse.dc.gov/sites/default/files/dc/sites/osse/publication/attachments/2015%20Affidavit%20Appendix%20G.pdf</w:t>
        </w:r>
      </w:hyperlink>
      <w:r>
        <w:t xml:space="preserve"> </w:t>
      </w:r>
    </w:p>
    <w:p w:rsidR="008E61C0" w:rsidRPr="00956DBD" w:rsidRDefault="008E61C0" w:rsidP="008E61C0">
      <w:pPr>
        <w:pStyle w:val="ListParagraph"/>
      </w:pPr>
    </w:p>
    <w:p w:rsidR="00956DBD" w:rsidRDefault="00956DBD" w:rsidP="00956DBD">
      <w:pPr>
        <w:rPr>
          <w:b/>
          <w:i/>
        </w:rPr>
      </w:pPr>
      <w:proofErr w:type="gramStart"/>
      <w:r>
        <w:rPr>
          <w:b/>
          <w:i/>
        </w:rPr>
        <w:t>Questions?</w:t>
      </w:r>
      <w:proofErr w:type="gramEnd"/>
      <w:r>
        <w:rPr>
          <w:b/>
          <w:i/>
        </w:rPr>
        <w:t xml:space="preserve"> We are here to help! </w:t>
      </w:r>
    </w:p>
    <w:p w:rsidR="008E61C0" w:rsidRPr="008E61C0" w:rsidRDefault="008E61C0" w:rsidP="00956DBD">
      <w:pPr>
        <w:pStyle w:val="ListParagraph"/>
        <w:numPr>
          <w:ilvl w:val="0"/>
          <w:numId w:val="21"/>
        </w:numPr>
        <w:rPr>
          <w:rStyle w:val="Hyperlink"/>
          <w:color w:val="auto"/>
          <w:u w:val="none"/>
        </w:rPr>
      </w:pPr>
      <w:r>
        <w:t xml:space="preserve">Email </w:t>
      </w:r>
      <w:hyperlink r:id="rId14" w:history="1">
        <w:r w:rsidRPr="00E13473">
          <w:rPr>
            <w:rStyle w:val="Hyperlink"/>
          </w:rPr>
          <w:t>osse.assessment@dc.gov</w:t>
        </w:r>
      </w:hyperlink>
      <w:r w:rsidRPr="008E61C0">
        <w:rPr>
          <w:rStyle w:val="Hyperlink"/>
          <w:color w:val="auto"/>
          <w:u w:val="none"/>
        </w:rPr>
        <w:t xml:space="preserve"> or call 240-270-2598 to speak with the OSSE assessments team</w:t>
      </w:r>
      <w:r w:rsidR="00565AD7">
        <w:rPr>
          <w:rStyle w:val="Hyperlink"/>
          <w:color w:val="auto"/>
          <w:u w:val="none"/>
        </w:rPr>
        <w:t>.</w:t>
      </w:r>
    </w:p>
    <w:p w:rsidR="00956DBD" w:rsidRDefault="00956DBD" w:rsidP="00956DBD">
      <w:pPr>
        <w:pStyle w:val="ListParagraph"/>
        <w:numPr>
          <w:ilvl w:val="0"/>
          <w:numId w:val="21"/>
        </w:numPr>
      </w:pPr>
      <w:r>
        <w:t xml:space="preserve">For live technical support, call PARCC Customer Support at 1-888-493-9888, or email </w:t>
      </w:r>
      <w:hyperlink r:id="rId15" w:history="1">
        <w:r w:rsidRPr="00E13473">
          <w:rPr>
            <w:rStyle w:val="Hyperlink"/>
          </w:rPr>
          <w:t>PARCC@support.pearson.com</w:t>
        </w:r>
      </w:hyperlink>
      <w:r>
        <w:t xml:space="preserve">. </w:t>
      </w:r>
    </w:p>
    <w:p w:rsidR="00956DBD" w:rsidRPr="00AA69EA" w:rsidRDefault="00956DBD" w:rsidP="00956DBD"/>
    <w:sectPr w:rsidR="00956DBD" w:rsidRPr="00AA69EA" w:rsidSect="00AA69E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1B" w:rsidRDefault="006F041B" w:rsidP="0027569D">
      <w:pPr>
        <w:spacing w:after="0" w:line="240" w:lineRule="auto"/>
      </w:pPr>
      <w:r>
        <w:separator/>
      </w:r>
    </w:p>
  </w:endnote>
  <w:endnote w:type="continuationSeparator" w:id="0">
    <w:p w:rsidR="006F041B" w:rsidRDefault="006F041B" w:rsidP="0027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3A" w:rsidRDefault="00CF2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EA" w:rsidRPr="002813EC" w:rsidRDefault="002202C0" w:rsidP="00AA69EA">
    <w:pPr>
      <w:pStyle w:val="Footer"/>
      <w:jc w:val="center"/>
      <w:rPr>
        <w:rFonts w:ascii="Times New Roman" w:eastAsia="Times New Roman" w:hAnsi="Times New Roman"/>
        <w:sz w:val="24"/>
        <w:szCs w:val="24"/>
      </w:rPr>
    </w:pPr>
    <w:sdt>
      <w:sdtPr>
        <w:id w:val="-1648820846"/>
        <w:docPartObj>
          <w:docPartGallery w:val="Page Numbers (Top of Page)"/>
          <w:docPartUnique/>
        </w:docPartObj>
      </w:sdtPr>
      <w:sdtEndPr/>
      <w:sdtContent>
        <w:r w:rsidR="00AA69EA" w:rsidRPr="002813EC">
          <w:rPr>
            <w:b/>
          </w:rPr>
          <w:t xml:space="preserve">Page </w:t>
        </w:r>
        <w:r w:rsidR="00AA69EA" w:rsidRPr="002813EC">
          <w:rPr>
            <w:b/>
            <w:bCs/>
            <w:sz w:val="24"/>
            <w:szCs w:val="24"/>
          </w:rPr>
          <w:fldChar w:fldCharType="begin"/>
        </w:r>
        <w:r w:rsidR="00AA69EA" w:rsidRPr="002813EC">
          <w:rPr>
            <w:b/>
            <w:bCs/>
          </w:rPr>
          <w:instrText xml:space="preserve"> PAGE </w:instrText>
        </w:r>
        <w:r w:rsidR="00AA69EA" w:rsidRPr="002813EC">
          <w:rPr>
            <w:b/>
            <w:bCs/>
            <w:sz w:val="24"/>
            <w:szCs w:val="24"/>
          </w:rPr>
          <w:fldChar w:fldCharType="separate"/>
        </w:r>
        <w:r>
          <w:rPr>
            <w:b/>
            <w:bCs/>
            <w:noProof/>
          </w:rPr>
          <w:t>2</w:t>
        </w:r>
        <w:r w:rsidR="00AA69EA" w:rsidRPr="002813EC">
          <w:rPr>
            <w:b/>
            <w:bCs/>
            <w:sz w:val="24"/>
            <w:szCs w:val="24"/>
          </w:rPr>
          <w:fldChar w:fldCharType="end"/>
        </w:r>
        <w:r w:rsidR="00AA69EA" w:rsidRPr="002813EC">
          <w:rPr>
            <w:b/>
          </w:rPr>
          <w:t xml:space="preserve"> of </w:t>
        </w:r>
        <w:r w:rsidR="00AA69EA" w:rsidRPr="002813EC">
          <w:rPr>
            <w:b/>
            <w:bCs/>
            <w:sz w:val="24"/>
            <w:szCs w:val="24"/>
          </w:rPr>
          <w:fldChar w:fldCharType="begin"/>
        </w:r>
        <w:r w:rsidR="00AA69EA" w:rsidRPr="002813EC">
          <w:rPr>
            <w:b/>
            <w:bCs/>
          </w:rPr>
          <w:instrText xml:space="preserve"> NUMPAGES  </w:instrText>
        </w:r>
        <w:r w:rsidR="00AA69EA" w:rsidRPr="002813EC">
          <w:rPr>
            <w:b/>
            <w:bCs/>
            <w:sz w:val="24"/>
            <w:szCs w:val="24"/>
          </w:rPr>
          <w:fldChar w:fldCharType="separate"/>
        </w:r>
        <w:r>
          <w:rPr>
            <w:b/>
            <w:bCs/>
            <w:noProof/>
          </w:rPr>
          <w:t>3</w:t>
        </w:r>
        <w:r w:rsidR="00AA69EA" w:rsidRPr="002813EC">
          <w:rPr>
            <w:b/>
            <w:bCs/>
            <w:sz w:val="24"/>
            <w:szCs w:val="24"/>
          </w:rPr>
          <w:fldChar w:fldCharType="end"/>
        </w:r>
      </w:sdtContent>
    </w:sdt>
    <w:r w:rsidR="00AA69EA">
      <w:rPr>
        <w:rFonts w:ascii="Times New Roman" w:eastAsia="Times New Roman" w:hAnsi="Times New Roman"/>
        <w:sz w:val="24"/>
        <w:szCs w:val="24"/>
      </w:rPr>
      <w:t xml:space="preserve"> |</w:t>
    </w:r>
    <w:r w:rsidR="00AA69EA">
      <w:rPr>
        <w:noProof/>
      </w:rPr>
      <w:t xml:space="preserve"> </w:t>
    </w:r>
    <w:r w:rsidR="00AA69EA">
      <w:rPr>
        <w:noProof/>
      </w:rPr>
      <mc:AlternateContent>
        <mc:Choice Requires="wps">
          <w:drawing>
            <wp:anchor distT="4294967295" distB="4294967295" distL="114300" distR="114300" simplePos="0" relativeHeight="251661312" behindDoc="0" locked="0" layoutInCell="1" allowOverlap="1" wp14:anchorId="067741E3" wp14:editId="282754DE">
              <wp:simplePos x="0" y="0"/>
              <wp:positionH relativeFrom="margin">
                <wp:align>center</wp:align>
              </wp:positionH>
              <wp:positionV relativeFrom="paragraph">
                <wp:posOffset>-74296</wp:posOffset>
              </wp:positionV>
              <wp:extent cx="59436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31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5.85pt" to="46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" strokecolor="#0d0d0d" strokeweight=".25pt">
              <o:lock v:ext="edit" shapetype="f"/>
              <w10:wrap anchorx="margin"/>
            </v:line>
          </w:pict>
        </mc:Fallback>
      </mc:AlternateContent>
    </w:r>
    <w:r w:rsidR="00AA69EA" w:rsidRPr="00375156">
      <w:rPr>
        <w:rStyle w:val="field-content"/>
        <w:rFonts w:ascii="Calibri" w:hAnsi="Calibri"/>
        <w:sz w:val="20"/>
        <w:szCs w:val="20"/>
      </w:rPr>
      <w:t>810 1st Street NE, 9</w:t>
    </w:r>
    <w:r w:rsidR="00AA69EA" w:rsidRPr="00375156">
      <w:rPr>
        <w:rStyle w:val="field-content"/>
        <w:rFonts w:ascii="Calibri" w:hAnsi="Calibri"/>
        <w:sz w:val="20"/>
        <w:szCs w:val="20"/>
        <w:vertAlign w:val="superscript"/>
      </w:rPr>
      <w:t>th</w:t>
    </w:r>
    <w:r w:rsidR="00AA69EA" w:rsidRPr="00375156">
      <w:rPr>
        <w:rStyle w:val="field-content"/>
        <w:rFonts w:ascii="Calibri" w:hAnsi="Calibri"/>
        <w:sz w:val="20"/>
        <w:szCs w:val="20"/>
      </w:rPr>
      <w:t xml:space="preserve"> Floor, Washington, DC 20002 • Phone: (202) 727-6436 TTY: 711 • osse.dc.gov</w:t>
    </w:r>
  </w:p>
  <w:p w:rsidR="00A73B52" w:rsidRDefault="00A73B52" w:rsidP="00A73B5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EA" w:rsidRPr="002813EC" w:rsidRDefault="002202C0" w:rsidP="00AA69EA">
    <w:pPr>
      <w:pStyle w:val="Footer"/>
      <w:jc w:val="center"/>
      <w:rPr>
        <w:rFonts w:ascii="Times New Roman" w:eastAsia="Times New Roman" w:hAnsi="Times New Roman"/>
        <w:sz w:val="24"/>
        <w:szCs w:val="24"/>
      </w:rPr>
    </w:pPr>
    <w:sdt>
      <w:sdtPr>
        <w:id w:val="-102964707"/>
        <w:docPartObj>
          <w:docPartGallery w:val="Page Numbers (Top of Page)"/>
          <w:docPartUnique/>
        </w:docPartObj>
      </w:sdtPr>
      <w:sdtEndPr/>
      <w:sdtContent>
        <w:r w:rsidR="00AA69EA" w:rsidRPr="002813EC">
          <w:rPr>
            <w:b/>
          </w:rPr>
          <w:t xml:space="preserve">Page </w:t>
        </w:r>
        <w:r w:rsidR="00AA69EA" w:rsidRPr="002813EC">
          <w:rPr>
            <w:b/>
            <w:bCs/>
            <w:sz w:val="24"/>
            <w:szCs w:val="24"/>
          </w:rPr>
          <w:fldChar w:fldCharType="begin"/>
        </w:r>
        <w:r w:rsidR="00AA69EA" w:rsidRPr="002813EC">
          <w:rPr>
            <w:b/>
            <w:bCs/>
          </w:rPr>
          <w:instrText xml:space="preserve"> PAGE </w:instrText>
        </w:r>
        <w:r w:rsidR="00AA69EA" w:rsidRPr="002813EC">
          <w:rPr>
            <w:b/>
            <w:bCs/>
            <w:sz w:val="24"/>
            <w:szCs w:val="24"/>
          </w:rPr>
          <w:fldChar w:fldCharType="separate"/>
        </w:r>
        <w:r>
          <w:rPr>
            <w:b/>
            <w:bCs/>
            <w:noProof/>
          </w:rPr>
          <w:t>1</w:t>
        </w:r>
        <w:r w:rsidR="00AA69EA" w:rsidRPr="002813EC">
          <w:rPr>
            <w:b/>
            <w:bCs/>
            <w:sz w:val="24"/>
            <w:szCs w:val="24"/>
          </w:rPr>
          <w:fldChar w:fldCharType="end"/>
        </w:r>
        <w:r w:rsidR="00AA69EA" w:rsidRPr="002813EC">
          <w:rPr>
            <w:b/>
          </w:rPr>
          <w:t xml:space="preserve"> of </w:t>
        </w:r>
        <w:r w:rsidR="00AA69EA" w:rsidRPr="002813EC">
          <w:rPr>
            <w:b/>
            <w:bCs/>
            <w:sz w:val="24"/>
            <w:szCs w:val="24"/>
          </w:rPr>
          <w:fldChar w:fldCharType="begin"/>
        </w:r>
        <w:r w:rsidR="00AA69EA" w:rsidRPr="002813EC">
          <w:rPr>
            <w:b/>
            <w:bCs/>
          </w:rPr>
          <w:instrText xml:space="preserve"> NUMPAGES  </w:instrText>
        </w:r>
        <w:r w:rsidR="00AA69EA" w:rsidRPr="002813EC">
          <w:rPr>
            <w:b/>
            <w:bCs/>
            <w:sz w:val="24"/>
            <w:szCs w:val="24"/>
          </w:rPr>
          <w:fldChar w:fldCharType="separate"/>
        </w:r>
        <w:r>
          <w:rPr>
            <w:b/>
            <w:bCs/>
            <w:noProof/>
          </w:rPr>
          <w:t>1</w:t>
        </w:r>
        <w:r w:rsidR="00AA69EA" w:rsidRPr="002813EC">
          <w:rPr>
            <w:b/>
            <w:bCs/>
            <w:sz w:val="24"/>
            <w:szCs w:val="24"/>
          </w:rPr>
          <w:fldChar w:fldCharType="end"/>
        </w:r>
      </w:sdtContent>
    </w:sdt>
    <w:r w:rsidR="00AA69EA">
      <w:rPr>
        <w:rFonts w:ascii="Times New Roman" w:eastAsia="Times New Roman" w:hAnsi="Times New Roman"/>
        <w:sz w:val="24"/>
        <w:szCs w:val="24"/>
      </w:rPr>
      <w:t xml:space="preserve"> |</w:t>
    </w:r>
    <w:r w:rsidR="00AA69EA">
      <w:rPr>
        <w:noProof/>
      </w:rPr>
      <w:t xml:space="preserve"> </w:t>
    </w:r>
    <w:r w:rsidR="00AA69EA">
      <w:rPr>
        <w:noProof/>
      </w:rPr>
      <mc:AlternateContent>
        <mc:Choice Requires="wps">
          <w:drawing>
            <wp:anchor distT="4294967295" distB="4294967295" distL="114300" distR="114300" simplePos="0" relativeHeight="251659264" behindDoc="0" locked="0" layoutInCell="1" allowOverlap="1" wp14:anchorId="3CF869BA" wp14:editId="20FCE558">
              <wp:simplePos x="0" y="0"/>
              <wp:positionH relativeFrom="margin">
                <wp:align>center</wp:align>
              </wp:positionH>
              <wp:positionV relativeFrom="paragraph">
                <wp:posOffset>-74296</wp:posOffset>
              </wp:positionV>
              <wp:extent cx="5943600" cy="0"/>
              <wp:effectExtent l="0" t="0" r="25400" b="2540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31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5.85pt" to="46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" strokecolor="#0d0d0d" strokeweight=".25pt">
              <o:lock v:ext="edit" shapetype="f"/>
              <w10:wrap anchorx="margin"/>
            </v:line>
          </w:pict>
        </mc:Fallback>
      </mc:AlternateContent>
    </w:r>
    <w:r w:rsidR="00AA69EA" w:rsidRPr="00375156">
      <w:rPr>
        <w:rStyle w:val="field-content"/>
        <w:rFonts w:ascii="Calibri" w:hAnsi="Calibri"/>
        <w:sz w:val="20"/>
        <w:szCs w:val="20"/>
      </w:rPr>
      <w:t>810 1st Street NE, 9</w:t>
    </w:r>
    <w:r w:rsidR="00AA69EA" w:rsidRPr="00375156">
      <w:rPr>
        <w:rStyle w:val="field-content"/>
        <w:rFonts w:ascii="Calibri" w:hAnsi="Calibri"/>
        <w:sz w:val="20"/>
        <w:szCs w:val="20"/>
        <w:vertAlign w:val="superscript"/>
      </w:rPr>
      <w:t>th</w:t>
    </w:r>
    <w:r w:rsidR="00AA69EA" w:rsidRPr="00375156">
      <w:rPr>
        <w:rStyle w:val="field-content"/>
        <w:rFonts w:ascii="Calibri" w:hAnsi="Calibri"/>
        <w:sz w:val="20"/>
        <w:szCs w:val="20"/>
      </w:rPr>
      <w:t xml:space="preserve"> Floor, Washington, DC 20002 • Phone: (202) 727-6436 TTY: 711 • osse.dc.gov</w:t>
    </w:r>
  </w:p>
  <w:p w:rsidR="00AA69EA" w:rsidRDefault="00AA6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1B" w:rsidRDefault="006F041B" w:rsidP="0027569D">
      <w:pPr>
        <w:spacing w:after="0" w:line="240" w:lineRule="auto"/>
      </w:pPr>
      <w:r>
        <w:separator/>
      </w:r>
    </w:p>
  </w:footnote>
  <w:footnote w:type="continuationSeparator" w:id="0">
    <w:p w:rsidR="006F041B" w:rsidRDefault="006F041B" w:rsidP="00275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3A" w:rsidRDefault="00CF2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EA" w:rsidRDefault="00AA69EA" w:rsidP="00AA69EA">
    <w:pPr>
      <w:pStyle w:val="Header"/>
    </w:pPr>
  </w:p>
  <w:p w:rsidR="0027569D" w:rsidRDefault="0027569D" w:rsidP="0027569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EA" w:rsidRPr="00375156" w:rsidRDefault="00AA69EA" w:rsidP="00AA69EA">
    <w:pPr>
      <w:pStyle w:val="Header"/>
      <w:jc w:val="center"/>
      <w:rPr>
        <w:rFonts w:ascii="Calibri" w:hAnsi="Calibri"/>
        <w:caps/>
        <w:sz w:val="20"/>
        <w:szCs w:val="20"/>
      </w:rPr>
    </w:pPr>
    <w:r w:rsidRPr="00375156">
      <w:rPr>
        <w:rFonts w:ascii="Calibri" w:hAnsi="Calibri"/>
        <w:caps/>
        <w:sz w:val="20"/>
        <w:szCs w:val="20"/>
      </w:rPr>
      <w:t>District of Columbia</w:t>
    </w:r>
  </w:p>
  <w:p w:rsidR="00AA69EA" w:rsidRPr="00375156" w:rsidRDefault="00AA69EA" w:rsidP="00AA69EA">
    <w:pPr>
      <w:pStyle w:val="Header"/>
      <w:jc w:val="center"/>
      <w:rPr>
        <w:rFonts w:ascii="Calibri" w:hAnsi="Calibri"/>
        <w:color w:val="D11141"/>
        <w:sz w:val="18"/>
        <w:szCs w:val="18"/>
      </w:rPr>
    </w:pPr>
    <w:r w:rsidRPr="00375156">
      <w:rPr>
        <w:rFonts w:ascii="Calibri" w:hAnsi="Calibri"/>
        <w:caps/>
        <w:sz w:val="20"/>
        <w:szCs w:val="20"/>
      </w:rPr>
      <w:t>Office of the State Superintendent of Education</w:t>
    </w:r>
    <w:r w:rsidRPr="00375156">
      <w:rPr>
        <w:rFonts w:ascii="Calibri" w:hAnsi="Calibri"/>
        <w:caps/>
        <w:color w:val="D11141"/>
        <w:sz w:val="18"/>
        <w:szCs w:val="18"/>
      </w:rPr>
      <w:br/>
    </w:r>
  </w:p>
  <w:p w:rsidR="00AA69EA" w:rsidRDefault="00AA69EA" w:rsidP="00AA69EA">
    <w:pPr>
      <w:pStyle w:val="Header"/>
    </w:pPr>
    <w:r>
      <w:rPr>
        <w:rFonts w:ascii="Calibri" w:hAnsi="Calibri"/>
        <w:noProof/>
        <w:color w:val="D11141"/>
        <w:sz w:val="18"/>
        <w:szCs w:val="18"/>
      </w:rPr>
      <w:drawing>
        <wp:anchor distT="0" distB="0" distL="114300" distR="114300" simplePos="0" relativeHeight="251663360" behindDoc="0" locked="0" layoutInCell="1" allowOverlap="1" wp14:anchorId="666EEE0D" wp14:editId="48AF5CC9">
          <wp:simplePos x="0" y="0"/>
          <wp:positionH relativeFrom="margin">
            <wp:align>center</wp:align>
          </wp:positionH>
          <wp:positionV relativeFrom="paragraph">
            <wp:posOffset>-4445</wp:posOffset>
          </wp:positionV>
          <wp:extent cx="497840" cy="532130"/>
          <wp:effectExtent l="0" t="0" r="1016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9EA" w:rsidRDefault="00AA6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BB9"/>
    <w:multiLevelType w:val="hybridMultilevel"/>
    <w:tmpl w:val="6F70A084"/>
    <w:lvl w:ilvl="0" w:tplc="A0C418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35D78"/>
    <w:multiLevelType w:val="hybridMultilevel"/>
    <w:tmpl w:val="3F72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501EF"/>
    <w:multiLevelType w:val="hybridMultilevel"/>
    <w:tmpl w:val="DC74071A"/>
    <w:lvl w:ilvl="0" w:tplc="A0C418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60080"/>
    <w:multiLevelType w:val="hybridMultilevel"/>
    <w:tmpl w:val="D71C0AE6"/>
    <w:lvl w:ilvl="0" w:tplc="A0C418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E203C"/>
    <w:multiLevelType w:val="hybridMultilevel"/>
    <w:tmpl w:val="C4B62322"/>
    <w:lvl w:ilvl="0" w:tplc="A0C418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A7CDD"/>
    <w:multiLevelType w:val="hybridMultilevel"/>
    <w:tmpl w:val="F02C5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C0E97"/>
    <w:multiLevelType w:val="hybridMultilevel"/>
    <w:tmpl w:val="B0CC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75E41"/>
    <w:multiLevelType w:val="hybridMultilevel"/>
    <w:tmpl w:val="108E69C0"/>
    <w:lvl w:ilvl="0" w:tplc="502E44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F4C72"/>
    <w:multiLevelType w:val="hybridMultilevel"/>
    <w:tmpl w:val="A5788D36"/>
    <w:lvl w:ilvl="0" w:tplc="502E44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61B87"/>
    <w:multiLevelType w:val="hybridMultilevel"/>
    <w:tmpl w:val="64BE5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8089D"/>
    <w:multiLevelType w:val="hybridMultilevel"/>
    <w:tmpl w:val="3272A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E3B37"/>
    <w:multiLevelType w:val="hybridMultilevel"/>
    <w:tmpl w:val="E21C0724"/>
    <w:lvl w:ilvl="0" w:tplc="A0C418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12D02"/>
    <w:multiLevelType w:val="hybridMultilevel"/>
    <w:tmpl w:val="D4B6C148"/>
    <w:lvl w:ilvl="0" w:tplc="502E44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802999"/>
    <w:multiLevelType w:val="hybridMultilevel"/>
    <w:tmpl w:val="19EE3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130A3"/>
    <w:multiLevelType w:val="hybridMultilevel"/>
    <w:tmpl w:val="2F288F96"/>
    <w:lvl w:ilvl="0" w:tplc="A0C418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061E94"/>
    <w:multiLevelType w:val="hybridMultilevel"/>
    <w:tmpl w:val="8DAED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EE79E0"/>
    <w:multiLevelType w:val="hybridMultilevel"/>
    <w:tmpl w:val="C218AE10"/>
    <w:lvl w:ilvl="0" w:tplc="502E442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EAC372E"/>
    <w:multiLevelType w:val="hybridMultilevel"/>
    <w:tmpl w:val="51E4F012"/>
    <w:lvl w:ilvl="0" w:tplc="502E44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34254E"/>
    <w:multiLevelType w:val="hybridMultilevel"/>
    <w:tmpl w:val="CA165832"/>
    <w:lvl w:ilvl="0" w:tplc="A0C418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E1425"/>
    <w:multiLevelType w:val="hybridMultilevel"/>
    <w:tmpl w:val="08B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0E21B9"/>
    <w:multiLevelType w:val="hybridMultilevel"/>
    <w:tmpl w:val="EEC47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16102D"/>
    <w:multiLevelType w:val="hybridMultilevel"/>
    <w:tmpl w:val="135607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2"/>
  </w:num>
  <w:num w:numId="3">
    <w:abstractNumId w:val="16"/>
  </w:num>
  <w:num w:numId="4">
    <w:abstractNumId w:val="0"/>
  </w:num>
  <w:num w:numId="5">
    <w:abstractNumId w:val="7"/>
  </w:num>
  <w:num w:numId="6">
    <w:abstractNumId w:val="14"/>
  </w:num>
  <w:num w:numId="7">
    <w:abstractNumId w:val="4"/>
  </w:num>
  <w:num w:numId="8">
    <w:abstractNumId w:val="17"/>
  </w:num>
  <w:num w:numId="9">
    <w:abstractNumId w:val="11"/>
  </w:num>
  <w:num w:numId="10">
    <w:abstractNumId w:val="2"/>
  </w:num>
  <w:num w:numId="11">
    <w:abstractNumId w:val="18"/>
  </w:num>
  <w:num w:numId="12">
    <w:abstractNumId w:val="3"/>
  </w:num>
  <w:num w:numId="13">
    <w:abstractNumId w:val="5"/>
  </w:num>
  <w:num w:numId="14">
    <w:abstractNumId w:val="1"/>
  </w:num>
  <w:num w:numId="15">
    <w:abstractNumId w:val="9"/>
  </w:num>
  <w:num w:numId="16">
    <w:abstractNumId w:val="13"/>
  </w:num>
  <w:num w:numId="17">
    <w:abstractNumId w:val="15"/>
  </w:num>
  <w:num w:numId="18">
    <w:abstractNumId w:val="10"/>
  </w:num>
  <w:num w:numId="19">
    <w:abstractNumId w:val="20"/>
  </w:num>
  <w:num w:numId="20">
    <w:abstractNumId w:val="6"/>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67"/>
    <w:rsid w:val="00082314"/>
    <w:rsid w:val="00092357"/>
    <w:rsid w:val="002202C0"/>
    <w:rsid w:val="0027569D"/>
    <w:rsid w:val="00337BD0"/>
    <w:rsid w:val="00356F50"/>
    <w:rsid w:val="00544EDC"/>
    <w:rsid w:val="00565AD7"/>
    <w:rsid w:val="00595B76"/>
    <w:rsid w:val="006D650C"/>
    <w:rsid w:val="006F041B"/>
    <w:rsid w:val="007126AB"/>
    <w:rsid w:val="008415FE"/>
    <w:rsid w:val="008A0066"/>
    <w:rsid w:val="008E61C0"/>
    <w:rsid w:val="00956DBD"/>
    <w:rsid w:val="00966752"/>
    <w:rsid w:val="00A3504C"/>
    <w:rsid w:val="00A40825"/>
    <w:rsid w:val="00A73B52"/>
    <w:rsid w:val="00AA2B16"/>
    <w:rsid w:val="00AA69EA"/>
    <w:rsid w:val="00AE11F0"/>
    <w:rsid w:val="00B20A2D"/>
    <w:rsid w:val="00B256D3"/>
    <w:rsid w:val="00CF263A"/>
    <w:rsid w:val="00D67578"/>
    <w:rsid w:val="00E277E7"/>
    <w:rsid w:val="00E36A1B"/>
    <w:rsid w:val="00F6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67"/>
    <w:pPr>
      <w:ind w:left="720"/>
      <w:contextualSpacing/>
    </w:pPr>
  </w:style>
  <w:style w:type="character" w:styleId="Hyperlink">
    <w:name w:val="Hyperlink"/>
    <w:basedOn w:val="DefaultParagraphFont"/>
    <w:uiPriority w:val="99"/>
    <w:unhideWhenUsed/>
    <w:rsid w:val="00A40825"/>
    <w:rPr>
      <w:color w:val="0000FF" w:themeColor="hyperlink"/>
      <w:u w:val="single"/>
    </w:rPr>
  </w:style>
  <w:style w:type="paragraph" w:styleId="Header">
    <w:name w:val="header"/>
    <w:basedOn w:val="Normal"/>
    <w:link w:val="HeaderChar"/>
    <w:uiPriority w:val="99"/>
    <w:unhideWhenUsed/>
    <w:rsid w:val="00275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9D"/>
  </w:style>
  <w:style w:type="paragraph" w:styleId="Footer">
    <w:name w:val="footer"/>
    <w:basedOn w:val="Normal"/>
    <w:link w:val="FooterChar"/>
    <w:uiPriority w:val="99"/>
    <w:unhideWhenUsed/>
    <w:rsid w:val="00275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69D"/>
  </w:style>
  <w:style w:type="paragraph" w:styleId="BalloonText">
    <w:name w:val="Balloon Text"/>
    <w:basedOn w:val="Normal"/>
    <w:link w:val="BalloonTextChar"/>
    <w:uiPriority w:val="99"/>
    <w:semiHidden/>
    <w:unhideWhenUsed/>
    <w:rsid w:val="0027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9D"/>
    <w:rPr>
      <w:rFonts w:ascii="Tahoma" w:hAnsi="Tahoma" w:cs="Tahoma"/>
      <w:sz w:val="16"/>
      <w:szCs w:val="16"/>
    </w:rPr>
  </w:style>
  <w:style w:type="character" w:customStyle="1" w:styleId="field-content">
    <w:name w:val="field-content"/>
    <w:rsid w:val="00AA69EA"/>
  </w:style>
  <w:style w:type="character" w:styleId="CommentReference">
    <w:name w:val="annotation reference"/>
    <w:basedOn w:val="DefaultParagraphFont"/>
    <w:uiPriority w:val="99"/>
    <w:semiHidden/>
    <w:unhideWhenUsed/>
    <w:rsid w:val="00565AD7"/>
    <w:rPr>
      <w:sz w:val="16"/>
      <w:szCs w:val="16"/>
    </w:rPr>
  </w:style>
  <w:style w:type="paragraph" w:styleId="CommentText">
    <w:name w:val="annotation text"/>
    <w:basedOn w:val="Normal"/>
    <w:link w:val="CommentTextChar"/>
    <w:uiPriority w:val="99"/>
    <w:semiHidden/>
    <w:unhideWhenUsed/>
    <w:rsid w:val="00565AD7"/>
    <w:pPr>
      <w:spacing w:line="240" w:lineRule="auto"/>
    </w:pPr>
    <w:rPr>
      <w:sz w:val="20"/>
      <w:szCs w:val="20"/>
    </w:rPr>
  </w:style>
  <w:style w:type="character" w:customStyle="1" w:styleId="CommentTextChar">
    <w:name w:val="Comment Text Char"/>
    <w:basedOn w:val="DefaultParagraphFont"/>
    <w:link w:val="CommentText"/>
    <w:uiPriority w:val="99"/>
    <w:semiHidden/>
    <w:rsid w:val="00565AD7"/>
    <w:rPr>
      <w:sz w:val="20"/>
      <w:szCs w:val="20"/>
    </w:rPr>
  </w:style>
  <w:style w:type="paragraph" w:styleId="CommentSubject">
    <w:name w:val="annotation subject"/>
    <w:basedOn w:val="CommentText"/>
    <w:next w:val="CommentText"/>
    <w:link w:val="CommentSubjectChar"/>
    <w:uiPriority w:val="99"/>
    <w:semiHidden/>
    <w:unhideWhenUsed/>
    <w:rsid w:val="00565AD7"/>
    <w:rPr>
      <w:b/>
      <w:bCs/>
    </w:rPr>
  </w:style>
  <w:style w:type="character" w:customStyle="1" w:styleId="CommentSubjectChar">
    <w:name w:val="Comment Subject Char"/>
    <w:basedOn w:val="CommentTextChar"/>
    <w:link w:val="CommentSubject"/>
    <w:uiPriority w:val="99"/>
    <w:semiHidden/>
    <w:rsid w:val="00565A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67"/>
    <w:pPr>
      <w:ind w:left="720"/>
      <w:contextualSpacing/>
    </w:pPr>
  </w:style>
  <w:style w:type="character" w:styleId="Hyperlink">
    <w:name w:val="Hyperlink"/>
    <w:basedOn w:val="DefaultParagraphFont"/>
    <w:uiPriority w:val="99"/>
    <w:unhideWhenUsed/>
    <w:rsid w:val="00A40825"/>
    <w:rPr>
      <w:color w:val="0000FF" w:themeColor="hyperlink"/>
      <w:u w:val="single"/>
    </w:rPr>
  </w:style>
  <w:style w:type="paragraph" w:styleId="Header">
    <w:name w:val="header"/>
    <w:basedOn w:val="Normal"/>
    <w:link w:val="HeaderChar"/>
    <w:uiPriority w:val="99"/>
    <w:unhideWhenUsed/>
    <w:rsid w:val="00275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9D"/>
  </w:style>
  <w:style w:type="paragraph" w:styleId="Footer">
    <w:name w:val="footer"/>
    <w:basedOn w:val="Normal"/>
    <w:link w:val="FooterChar"/>
    <w:uiPriority w:val="99"/>
    <w:unhideWhenUsed/>
    <w:rsid w:val="00275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69D"/>
  </w:style>
  <w:style w:type="paragraph" w:styleId="BalloonText">
    <w:name w:val="Balloon Text"/>
    <w:basedOn w:val="Normal"/>
    <w:link w:val="BalloonTextChar"/>
    <w:uiPriority w:val="99"/>
    <w:semiHidden/>
    <w:unhideWhenUsed/>
    <w:rsid w:val="0027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9D"/>
    <w:rPr>
      <w:rFonts w:ascii="Tahoma" w:hAnsi="Tahoma" w:cs="Tahoma"/>
      <w:sz w:val="16"/>
      <w:szCs w:val="16"/>
    </w:rPr>
  </w:style>
  <w:style w:type="character" w:customStyle="1" w:styleId="field-content">
    <w:name w:val="field-content"/>
    <w:rsid w:val="00AA69EA"/>
  </w:style>
  <w:style w:type="character" w:styleId="CommentReference">
    <w:name w:val="annotation reference"/>
    <w:basedOn w:val="DefaultParagraphFont"/>
    <w:uiPriority w:val="99"/>
    <w:semiHidden/>
    <w:unhideWhenUsed/>
    <w:rsid w:val="00565AD7"/>
    <w:rPr>
      <w:sz w:val="16"/>
      <w:szCs w:val="16"/>
    </w:rPr>
  </w:style>
  <w:style w:type="paragraph" w:styleId="CommentText">
    <w:name w:val="annotation text"/>
    <w:basedOn w:val="Normal"/>
    <w:link w:val="CommentTextChar"/>
    <w:uiPriority w:val="99"/>
    <w:semiHidden/>
    <w:unhideWhenUsed/>
    <w:rsid w:val="00565AD7"/>
    <w:pPr>
      <w:spacing w:line="240" w:lineRule="auto"/>
    </w:pPr>
    <w:rPr>
      <w:sz w:val="20"/>
      <w:szCs w:val="20"/>
    </w:rPr>
  </w:style>
  <w:style w:type="character" w:customStyle="1" w:styleId="CommentTextChar">
    <w:name w:val="Comment Text Char"/>
    <w:basedOn w:val="DefaultParagraphFont"/>
    <w:link w:val="CommentText"/>
    <w:uiPriority w:val="99"/>
    <w:semiHidden/>
    <w:rsid w:val="00565AD7"/>
    <w:rPr>
      <w:sz w:val="20"/>
      <w:szCs w:val="20"/>
    </w:rPr>
  </w:style>
  <w:style w:type="paragraph" w:styleId="CommentSubject">
    <w:name w:val="annotation subject"/>
    <w:basedOn w:val="CommentText"/>
    <w:next w:val="CommentText"/>
    <w:link w:val="CommentSubjectChar"/>
    <w:uiPriority w:val="99"/>
    <w:semiHidden/>
    <w:unhideWhenUsed/>
    <w:rsid w:val="00565AD7"/>
    <w:rPr>
      <w:b/>
      <w:bCs/>
    </w:rPr>
  </w:style>
  <w:style w:type="character" w:customStyle="1" w:styleId="CommentSubjectChar">
    <w:name w:val="Comment Subject Char"/>
    <w:basedOn w:val="CommentTextChar"/>
    <w:link w:val="CommentSubject"/>
    <w:uiPriority w:val="99"/>
    <w:semiHidden/>
    <w:rsid w:val="00565A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ocet.pearson.com/PARCC/Home" TargetMode="External"/><Relationship Id="rId13" Type="http://schemas.openxmlformats.org/officeDocument/2006/relationships/hyperlink" Target="http://osse.dc.gov/sites/default/files/dc/sites/osse/publication/attachments/2015%20Affidavit%20Appendix%20G.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osse.dc.gov/sites/default/files/dc/sites/osse/publication/attachments/2015%20Affidavit%20Appendix%20G.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assessment.pearson.com/display/TN/Use+ProctorCache" TargetMode="External"/><Relationship Id="rId5" Type="http://schemas.openxmlformats.org/officeDocument/2006/relationships/webSettings" Target="webSettings.xml"/><Relationship Id="rId15" Type="http://schemas.openxmlformats.org/officeDocument/2006/relationships/hyperlink" Target="mailto:PARCC@support.pearson.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osse.assessment@dc.gov"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2015-01-30T21:27:00Z</cp:lastPrinted>
  <dcterms:created xsi:type="dcterms:W3CDTF">2015-04-08T19:50:00Z</dcterms:created>
  <dcterms:modified xsi:type="dcterms:W3CDTF">2015-04-08T19:50:00Z</dcterms:modified>
</cp:coreProperties>
</file>