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73" w:rsidRDefault="00BC3A73">
      <w:pPr>
        <w:pStyle w:val="BodyText"/>
        <w:rPr>
          <w:sz w:val="20"/>
        </w:rPr>
      </w:pPr>
    </w:p>
    <w:p w:rsidR="00BC3A73" w:rsidRDefault="007A705F">
      <w:pPr>
        <w:spacing w:before="229" w:line="276" w:lineRule="auto"/>
        <w:ind w:left="116" w:right="1904"/>
        <w:rPr>
          <w:b/>
          <w:sz w:val="48"/>
        </w:rPr>
      </w:pPr>
      <w:bookmarkStart w:id="0" w:name="Section_1:_Analyzing_and_Prioritizing__E"/>
      <w:bookmarkEnd w:id="0"/>
      <w:r>
        <w:rPr>
          <w:b/>
          <w:color w:val="1E4E79"/>
          <w:sz w:val="48"/>
        </w:rPr>
        <w:t>Section 1: Analyzing and Prioritizing Equity Gaps</w:t>
      </w:r>
    </w:p>
    <w:p w:rsidR="00BC3A73" w:rsidRDefault="007A705F">
      <w:pPr>
        <w:pStyle w:val="BodyText"/>
        <w:spacing w:before="242" w:line="276" w:lineRule="auto"/>
        <w:ind w:left="160" w:right="146"/>
      </w:pPr>
      <w:r>
        <w:t>The purpose of Section 1 is to identify the data available, determine the most relevant data points, and set meaningful goals. When this important step is skipped, local education agencies (LEAs) run the risk of utilizing strategies that do not yield inten</w:t>
      </w:r>
      <w:r>
        <w:t>ded results because they have not accurately dissected the</w:t>
      </w:r>
      <w:r>
        <w:rPr>
          <w:spacing w:val="-8"/>
        </w:rPr>
        <w:t xml:space="preserve"> </w:t>
      </w:r>
      <w:r>
        <w:t>data.</w:t>
      </w:r>
    </w:p>
    <w:p w:rsidR="00BC3A73" w:rsidRDefault="00BC3A73">
      <w:pPr>
        <w:pStyle w:val="BodyText"/>
        <w:spacing w:before="10"/>
        <w:rPr>
          <w:sz w:val="20"/>
        </w:rPr>
      </w:pPr>
    </w:p>
    <w:p w:rsidR="00BC3A73" w:rsidRDefault="007A705F">
      <w:pPr>
        <w:pStyle w:val="BodyText"/>
        <w:spacing w:line="271" w:lineRule="auto"/>
        <w:ind w:left="160" w:right="576"/>
        <w:rPr>
          <w:sz w:val="16"/>
        </w:rPr>
      </w:pPr>
      <w:r>
        <w:t>To conduct a meaningful and thorough data analysis (and overall LEA Equity Plan), best practice is to engage a variety of stakeholders throughout the process, such as teachers and teacher le</w:t>
      </w:r>
      <w:r>
        <w:t>aders, principals and principal supervisors, parents, district leaders, students, board members, local business leaders, and community members.</w:t>
      </w:r>
      <w:hyperlink w:anchor="_bookmark0" w:history="1">
        <w:r>
          <w:rPr>
            <w:position w:val="9"/>
            <w:sz w:val="16"/>
          </w:rPr>
          <w:t>1</w:t>
        </w:r>
      </w:hyperlink>
    </w:p>
    <w:p w:rsidR="00BC3A73" w:rsidRDefault="007A705F">
      <w:pPr>
        <w:pStyle w:val="BodyText"/>
        <w:spacing w:before="243" w:line="276" w:lineRule="auto"/>
        <w:ind w:left="160" w:right="575"/>
      </w:pPr>
      <w:r>
        <w:t xml:space="preserve">The steps presented on the following pages will allow a LEA to complete “Section </w:t>
      </w:r>
      <w:r>
        <w:t xml:space="preserve">1: Equity Gaps” of the </w:t>
      </w:r>
      <w:r>
        <w:rPr>
          <w:i/>
        </w:rPr>
        <w:t xml:space="preserve">2018 LEA Equity Plan Template, </w:t>
      </w:r>
      <w:r>
        <w:t>which includes the following components:</w:t>
      </w:r>
    </w:p>
    <w:p w:rsidR="00BC3A73" w:rsidRDefault="007A705F">
      <w:pPr>
        <w:pStyle w:val="ListParagraph"/>
        <w:numPr>
          <w:ilvl w:val="0"/>
          <w:numId w:val="6"/>
        </w:numPr>
        <w:tabs>
          <w:tab w:val="left" w:pos="519"/>
          <w:tab w:val="left" w:pos="520"/>
        </w:tabs>
        <w:spacing w:before="121" w:line="276" w:lineRule="auto"/>
        <w:ind w:right="234"/>
        <w:rPr>
          <w:sz w:val="24"/>
        </w:rPr>
      </w:pPr>
      <w:r>
        <w:rPr>
          <w:sz w:val="24"/>
        </w:rPr>
        <w:t>Of the gaps identified by the Office of the State Superintendent of Education (OSSE),</w:t>
      </w:r>
      <w:r>
        <w:rPr>
          <w:spacing w:val="-24"/>
          <w:sz w:val="24"/>
        </w:rPr>
        <w:t xml:space="preserve"> </w:t>
      </w:r>
      <w:r>
        <w:rPr>
          <w:sz w:val="24"/>
        </w:rPr>
        <w:t>which are the most meaningful for your</w:t>
      </w:r>
      <w:r>
        <w:rPr>
          <w:spacing w:val="-11"/>
          <w:sz w:val="24"/>
        </w:rPr>
        <w:t xml:space="preserve"> </w:t>
      </w:r>
      <w:r>
        <w:rPr>
          <w:sz w:val="24"/>
        </w:rPr>
        <w:t>LEA?</w:t>
      </w:r>
    </w:p>
    <w:p w:rsidR="00BC3A73" w:rsidRDefault="007A705F">
      <w:pPr>
        <w:pStyle w:val="ListParagraph"/>
        <w:numPr>
          <w:ilvl w:val="0"/>
          <w:numId w:val="6"/>
        </w:numPr>
        <w:tabs>
          <w:tab w:val="left" w:pos="519"/>
          <w:tab w:val="left" w:pos="520"/>
        </w:tabs>
        <w:spacing w:before="121" w:line="276" w:lineRule="auto"/>
        <w:ind w:right="347"/>
        <w:rPr>
          <w:sz w:val="24"/>
        </w:rPr>
      </w:pPr>
      <w:r>
        <w:rPr>
          <w:sz w:val="24"/>
        </w:rPr>
        <w:t>Identify the LEA’s goals for cl</w:t>
      </w:r>
      <w:r>
        <w:rPr>
          <w:sz w:val="24"/>
        </w:rPr>
        <w:t>osing gaps for each identified school, specifying target years and desired</w:t>
      </w:r>
      <w:r>
        <w:rPr>
          <w:spacing w:val="-4"/>
          <w:sz w:val="24"/>
        </w:rPr>
        <w:t xml:space="preserve"> </w:t>
      </w:r>
      <w:r>
        <w:rPr>
          <w:sz w:val="24"/>
        </w:rPr>
        <w:t>progress.</w:t>
      </w:r>
    </w:p>
    <w:p w:rsidR="00BC3A73" w:rsidRDefault="007A705F">
      <w:pPr>
        <w:pStyle w:val="ListParagraph"/>
        <w:numPr>
          <w:ilvl w:val="0"/>
          <w:numId w:val="6"/>
        </w:numPr>
        <w:tabs>
          <w:tab w:val="left" w:pos="519"/>
          <w:tab w:val="left" w:pos="520"/>
        </w:tabs>
        <w:spacing w:before="121" w:line="276" w:lineRule="auto"/>
        <w:ind w:right="280"/>
        <w:rPr>
          <w:sz w:val="24"/>
        </w:rPr>
      </w:pPr>
      <w:r>
        <w:rPr>
          <w:sz w:val="24"/>
        </w:rPr>
        <w:t xml:space="preserve">Optional: All LEAs may elect to use their data to conduct additional teacher equity analyses of </w:t>
      </w:r>
      <w:r>
        <w:rPr>
          <w:spacing w:val="-4"/>
          <w:sz w:val="24"/>
        </w:rPr>
        <w:t xml:space="preserve">their choosing </w:t>
      </w:r>
      <w:r>
        <w:rPr>
          <w:spacing w:val="-3"/>
          <w:sz w:val="24"/>
        </w:rPr>
        <w:t xml:space="preserve">and </w:t>
      </w:r>
      <w:r>
        <w:rPr>
          <w:spacing w:val="-4"/>
          <w:sz w:val="24"/>
        </w:rPr>
        <w:t xml:space="preserve">may include any </w:t>
      </w:r>
      <w:r>
        <w:rPr>
          <w:spacing w:val="-5"/>
          <w:sz w:val="24"/>
        </w:rPr>
        <w:t xml:space="preserve">additional identified </w:t>
      </w:r>
      <w:r>
        <w:rPr>
          <w:spacing w:val="-4"/>
          <w:sz w:val="24"/>
        </w:rPr>
        <w:t>teacher equity gap</w:t>
      </w:r>
      <w:r>
        <w:rPr>
          <w:spacing w:val="-4"/>
          <w:sz w:val="24"/>
        </w:rPr>
        <w:t xml:space="preserve">s </w:t>
      </w:r>
      <w:r>
        <w:rPr>
          <w:sz w:val="24"/>
        </w:rPr>
        <w:t>in</w:t>
      </w:r>
      <w:r>
        <w:rPr>
          <w:spacing w:val="-39"/>
          <w:sz w:val="24"/>
        </w:rPr>
        <w:t xml:space="preserve"> </w:t>
      </w:r>
      <w:r>
        <w:rPr>
          <w:spacing w:val="-4"/>
          <w:sz w:val="24"/>
        </w:rPr>
        <w:t xml:space="preserve">this </w:t>
      </w:r>
      <w:r>
        <w:rPr>
          <w:spacing w:val="-5"/>
          <w:sz w:val="24"/>
        </w:rPr>
        <w:t>section.</w:t>
      </w: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7A705F">
      <w:pPr>
        <w:pStyle w:val="BodyText"/>
        <w:spacing w:before="1"/>
        <w:rPr>
          <w:sz w:val="18"/>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161290</wp:posOffset>
                </wp:positionV>
                <wp:extent cx="1828800" cy="0"/>
                <wp:effectExtent l="9525" t="12700" r="9525" b="635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9EF5"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pt" to="3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" strokeweight=".6pt">
                <w10:wrap type="topAndBottom" anchorx="page"/>
              </v:line>
            </w:pict>
          </mc:Fallback>
        </mc:AlternateContent>
      </w:r>
    </w:p>
    <w:p w:rsidR="00BC3A73" w:rsidRDefault="007A705F">
      <w:pPr>
        <w:spacing w:before="100" w:line="288" w:lineRule="auto"/>
        <w:ind w:left="160" w:right="146"/>
        <w:rPr>
          <w:sz w:val="18"/>
        </w:rPr>
      </w:pPr>
      <w:bookmarkStart w:id="1" w:name="_bookmark0"/>
      <w:bookmarkEnd w:id="1"/>
      <w:r>
        <w:rPr>
          <w:position w:val="9"/>
          <w:sz w:val="16"/>
        </w:rPr>
        <w:t xml:space="preserve">1 </w:t>
      </w:r>
      <w:r>
        <w:rPr>
          <w:sz w:val="18"/>
        </w:rPr>
        <w:t xml:space="preserve">If you are interested in learning more about stakeholder engagement, such as how to design stakeholder engagement groups of different sizes or how to design and implement stakeholder engagement meetings, please see the </w:t>
      </w:r>
      <w:hyperlink r:id="rId7">
        <w:r>
          <w:rPr>
            <w:color w:val="0563C1"/>
            <w:sz w:val="18"/>
            <w:u w:val="single" w:color="0563C1"/>
          </w:rPr>
          <w:t xml:space="preserve">Moving Toward Equity </w:t>
        </w:r>
      </w:hyperlink>
      <w:hyperlink r:id="rId8">
        <w:r>
          <w:rPr>
            <w:color w:val="0563C1"/>
            <w:sz w:val="18"/>
            <w:u w:val="single" w:color="0563C1"/>
          </w:rPr>
          <w:t xml:space="preserve">Stakeholder Engagement Guide </w:t>
        </w:r>
      </w:hyperlink>
      <w:r>
        <w:rPr>
          <w:sz w:val="18"/>
        </w:rPr>
        <w:t xml:space="preserve">from the Center on </w:t>
      </w:r>
      <w:r>
        <w:rPr>
          <w:sz w:val="18"/>
        </w:rPr>
        <w:t>Great Teachers and Leaders.</w:t>
      </w:r>
    </w:p>
    <w:p w:rsidR="00BC3A73" w:rsidRDefault="00BC3A73">
      <w:pPr>
        <w:spacing w:line="288" w:lineRule="auto"/>
        <w:rPr>
          <w:sz w:val="18"/>
        </w:rPr>
        <w:sectPr w:rsidR="00BC3A73">
          <w:headerReference w:type="default" r:id="rId9"/>
          <w:footerReference w:type="default" r:id="rId10"/>
          <w:type w:val="continuous"/>
          <w:pgSz w:w="12240" w:h="15840"/>
          <w:pgMar w:top="1760" w:right="1320" w:bottom="1520" w:left="1280" w:header="720" w:footer="1324" w:gutter="0"/>
          <w:pgNumType w:start="1"/>
          <w:cols w:space="720"/>
        </w:sectPr>
      </w:pPr>
    </w:p>
    <w:p w:rsidR="00BC3A73" w:rsidRDefault="00BC3A73">
      <w:pPr>
        <w:pStyle w:val="BodyText"/>
        <w:rPr>
          <w:sz w:val="20"/>
        </w:rPr>
      </w:pPr>
    </w:p>
    <w:p w:rsidR="00BC3A73" w:rsidRDefault="007A705F">
      <w:pPr>
        <w:pStyle w:val="Heading1"/>
      </w:pPr>
      <w:bookmarkStart w:id="2" w:name="Step_1:_Gather_Data"/>
      <w:bookmarkEnd w:id="2"/>
      <w:r>
        <w:rPr>
          <w:color w:val="1E4E79"/>
        </w:rPr>
        <w:t>Step 1: Gather Data</w:t>
      </w:r>
    </w:p>
    <w:p w:rsidR="00BC3A73" w:rsidRDefault="007A705F">
      <w:pPr>
        <w:pStyle w:val="BodyText"/>
        <w:spacing w:before="301" w:line="276" w:lineRule="auto"/>
        <w:ind w:left="120"/>
      </w:pPr>
      <w:r>
        <w:rPr>
          <w:spacing w:val="-3"/>
        </w:rPr>
        <w:t xml:space="preserve">The </w:t>
      </w:r>
      <w:r>
        <w:rPr>
          <w:spacing w:val="-4"/>
        </w:rPr>
        <w:t xml:space="preserve">goal </w:t>
      </w:r>
      <w:r>
        <w:t xml:space="preserve">of </w:t>
      </w:r>
      <w:r>
        <w:rPr>
          <w:spacing w:val="-4"/>
        </w:rPr>
        <w:t xml:space="preserve">Step </w:t>
      </w:r>
      <w:r>
        <w:t xml:space="preserve">1 is </w:t>
      </w:r>
      <w:r>
        <w:rPr>
          <w:spacing w:val="-4"/>
        </w:rPr>
        <w:t xml:space="preserve">for LEAs </w:t>
      </w:r>
      <w:r>
        <w:t xml:space="preserve">to </w:t>
      </w:r>
      <w:r>
        <w:rPr>
          <w:spacing w:val="-4"/>
        </w:rPr>
        <w:t xml:space="preserve">bring together all data relevant for </w:t>
      </w:r>
      <w:r>
        <w:rPr>
          <w:spacing w:val="-5"/>
        </w:rPr>
        <w:t xml:space="preserve">understanding </w:t>
      </w:r>
      <w:r>
        <w:rPr>
          <w:spacing w:val="-3"/>
        </w:rPr>
        <w:t xml:space="preserve">and </w:t>
      </w:r>
      <w:r>
        <w:rPr>
          <w:spacing w:val="-5"/>
        </w:rPr>
        <w:t xml:space="preserve">addressing </w:t>
      </w:r>
      <w:r>
        <w:t>teacher equity gaps. LEAs should use the worksheet below to identify the data to be gathered.</w:t>
      </w:r>
    </w:p>
    <w:p w:rsidR="00BC3A73" w:rsidRDefault="00BC3A73">
      <w:pPr>
        <w:pStyle w:val="BodyText"/>
        <w:spacing w:before="3"/>
        <w:rPr>
          <w:sz w:val="21"/>
        </w:rPr>
      </w:pPr>
    </w:p>
    <w:p w:rsidR="00BC3A73" w:rsidRDefault="007A705F">
      <w:pPr>
        <w:pStyle w:val="Heading2"/>
      </w:pPr>
      <w:r>
        <w:t>Step 1 Worksheet</w:t>
      </w:r>
    </w:p>
    <w:p w:rsidR="00BC3A73" w:rsidRDefault="007A705F">
      <w:pPr>
        <w:pStyle w:val="BodyText"/>
        <w:spacing w:before="5"/>
        <w:rPr>
          <w:b/>
          <w:sz w:val="10"/>
        </w:rPr>
      </w:pPr>
      <w:r>
        <w:rPr>
          <w:noProof/>
        </w:rPr>
        <mc:AlternateContent>
          <mc:Choice Requires="wps">
            <w:drawing>
              <wp:anchor distT="0" distB="0" distL="0" distR="0" simplePos="0" relativeHeight="251656704" behindDoc="0" locked="0" layoutInCell="1" allowOverlap="1">
                <wp:simplePos x="0" y="0"/>
                <wp:positionH relativeFrom="page">
                  <wp:posOffset>984250</wp:posOffset>
                </wp:positionH>
                <wp:positionV relativeFrom="paragraph">
                  <wp:posOffset>107950</wp:posOffset>
                </wp:positionV>
                <wp:extent cx="5943600" cy="3067050"/>
                <wp:effectExtent l="12700" t="8890" r="6350" b="10160"/>
                <wp:wrapTopAndBottom/>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6705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3A73" w:rsidRDefault="007A705F">
                            <w:pPr>
                              <w:pStyle w:val="ListParagraph"/>
                              <w:numPr>
                                <w:ilvl w:val="0"/>
                                <w:numId w:val="5"/>
                              </w:numPr>
                              <w:tabs>
                                <w:tab w:val="left" w:pos="450"/>
                              </w:tabs>
                              <w:spacing w:before="162"/>
                              <w:rPr>
                                <w:sz w:val="16"/>
                              </w:rPr>
                            </w:pPr>
                            <w:r>
                              <w:rPr>
                                <w:color w:val="818181"/>
                                <w:sz w:val="24"/>
                              </w:rPr>
                              <w:t>Teacher equity gap</w:t>
                            </w:r>
                            <w:r>
                              <w:rPr>
                                <w:color w:val="818181"/>
                                <w:spacing w:val="3"/>
                                <w:sz w:val="24"/>
                              </w:rPr>
                              <w:t xml:space="preserve"> </w:t>
                            </w:r>
                            <w:r>
                              <w:rPr>
                                <w:color w:val="818181"/>
                                <w:sz w:val="24"/>
                              </w:rPr>
                              <w:t>data</w:t>
                            </w:r>
                            <w:hyperlink w:anchor="_bookmark1" w:history="1">
                              <w:r>
                                <w:rPr>
                                  <w:color w:val="818181"/>
                                  <w:position w:val="9"/>
                                  <w:sz w:val="16"/>
                                </w:rPr>
                                <w:t>2</w:t>
                              </w:r>
                            </w:hyperlink>
                          </w:p>
                          <w:p w:rsidR="00BC3A73" w:rsidRDefault="007A705F">
                            <w:pPr>
                              <w:pStyle w:val="ListParagraph"/>
                              <w:numPr>
                                <w:ilvl w:val="0"/>
                                <w:numId w:val="5"/>
                              </w:numPr>
                              <w:tabs>
                                <w:tab w:val="left" w:pos="450"/>
                              </w:tabs>
                              <w:spacing w:before="122" w:line="264" w:lineRule="auto"/>
                              <w:ind w:right="1337"/>
                              <w:rPr>
                                <w:sz w:val="16"/>
                              </w:rPr>
                            </w:pPr>
                            <w:r>
                              <w:rPr>
                                <w:color w:val="818181"/>
                                <w:sz w:val="24"/>
                              </w:rPr>
                              <w:t>Teacher equity gap data spreadsheet. Applies to LEAs in the DC Staffing Data Collaborative.</w:t>
                            </w:r>
                            <w:hyperlink w:anchor="_bookmark2" w:history="1">
                              <w:r>
                                <w:rPr>
                                  <w:color w:val="818181"/>
                                  <w:position w:val="9"/>
                                  <w:sz w:val="16"/>
                                </w:rPr>
                                <w:t>3</w:t>
                              </w:r>
                            </w:hyperlink>
                          </w:p>
                          <w:p w:rsidR="00BC3A73" w:rsidRDefault="007A705F">
                            <w:pPr>
                              <w:pStyle w:val="ListParagraph"/>
                              <w:numPr>
                                <w:ilvl w:val="0"/>
                                <w:numId w:val="5"/>
                              </w:numPr>
                              <w:tabs>
                                <w:tab w:val="left" w:pos="450"/>
                              </w:tabs>
                              <w:spacing w:before="93"/>
                              <w:rPr>
                                <w:sz w:val="24"/>
                              </w:rPr>
                            </w:pPr>
                            <w:r>
                              <w:rPr>
                                <w:color w:val="818181"/>
                                <w:sz w:val="24"/>
                              </w:rPr>
                              <w:t>Teacher effectiveness</w:t>
                            </w:r>
                            <w:r>
                              <w:rPr>
                                <w:color w:val="818181"/>
                                <w:spacing w:val="-7"/>
                                <w:sz w:val="24"/>
                              </w:rPr>
                              <w:t xml:space="preserve"> </w:t>
                            </w:r>
                            <w:r>
                              <w:rPr>
                                <w:color w:val="818181"/>
                                <w:sz w:val="24"/>
                              </w:rPr>
                              <w:t>data</w:t>
                            </w:r>
                          </w:p>
                          <w:p w:rsidR="00BC3A73" w:rsidRDefault="007A705F">
                            <w:pPr>
                              <w:pStyle w:val="ListParagraph"/>
                              <w:numPr>
                                <w:ilvl w:val="0"/>
                                <w:numId w:val="5"/>
                              </w:numPr>
                              <w:tabs>
                                <w:tab w:val="left" w:pos="450"/>
                              </w:tabs>
                              <w:spacing w:before="121" w:line="261" w:lineRule="auto"/>
                              <w:ind w:right="738"/>
                              <w:rPr>
                                <w:sz w:val="16"/>
                              </w:rPr>
                            </w:pPr>
                            <w:r>
                              <w:rPr>
                                <w:color w:val="818181"/>
                                <w:sz w:val="24"/>
                              </w:rPr>
                              <w:t>Insight Survey data: Applies to LEAs in the District of Columbia (DC) Staffing Data Collaborative</w:t>
                            </w:r>
                            <w:hyperlink w:anchor="_bookmark3" w:history="1">
                              <w:r>
                                <w:rPr>
                                  <w:color w:val="818181"/>
                                  <w:position w:val="9"/>
                                  <w:sz w:val="16"/>
                                </w:rPr>
                                <w:t>4</w:t>
                              </w:r>
                            </w:hyperlink>
                          </w:p>
                          <w:p w:rsidR="00BC3A73" w:rsidRDefault="007A705F">
                            <w:pPr>
                              <w:pStyle w:val="ListParagraph"/>
                              <w:numPr>
                                <w:ilvl w:val="0"/>
                                <w:numId w:val="5"/>
                              </w:numPr>
                              <w:tabs>
                                <w:tab w:val="left" w:pos="450"/>
                              </w:tabs>
                              <w:spacing w:before="96" w:line="261" w:lineRule="auto"/>
                              <w:ind w:right="523"/>
                              <w:rPr>
                                <w:sz w:val="16"/>
                              </w:rPr>
                            </w:pPr>
                            <w:r>
                              <w:rPr>
                                <w:color w:val="818181"/>
                                <w:sz w:val="24"/>
                              </w:rPr>
                              <w:t>TNTP (formerly known as The New Teacher Project) Collaborative reports: Applies to LEAs in the DC Staffing Data</w:t>
                            </w:r>
                            <w:r>
                              <w:rPr>
                                <w:color w:val="818181"/>
                                <w:spacing w:val="-5"/>
                                <w:sz w:val="24"/>
                              </w:rPr>
                              <w:t xml:space="preserve"> </w:t>
                            </w:r>
                            <w:r>
                              <w:rPr>
                                <w:color w:val="818181"/>
                                <w:sz w:val="24"/>
                              </w:rPr>
                              <w:t>Collaborative</w:t>
                            </w:r>
                            <w:hyperlink w:anchor="_bookmark4" w:history="1">
                              <w:r>
                                <w:rPr>
                                  <w:color w:val="818181"/>
                                  <w:position w:val="9"/>
                                  <w:sz w:val="16"/>
                                </w:rPr>
                                <w:t>5</w:t>
                              </w:r>
                            </w:hyperlink>
                          </w:p>
                          <w:p w:rsidR="00BC3A73" w:rsidRDefault="007A705F">
                            <w:pPr>
                              <w:pStyle w:val="ListParagraph"/>
                              <w:numPr>
                                <w:ilvl w:val="0"/>
                                <w:numId w:val="5"/>
                              </w:numPr>
                              <w:tabs>
                                <w:tab w:val="left" w:pos="450"/>
                              </w:tabs>
                              <w:spacing w:before="95"/>
                              <w:rPr>
                                <w:sz w:val="24"/>
                              </w:rPr>
                            </w:pPr>
                            <w:r>
                              <w:rPr>
                                <w:color w:val="818181"/>
                                <w:sz w:val="24"/>
                              </w:rPr>
                              <w:t>Within-building</w:t>
                            </w:r>
                            <w:r>
                              <w:rPr>
                                <w:color w:val="818181"/>
                                <w:spacing w:val="-4"/>
                                <w:sz w:val="24"/>
                              </w:rPr>
                              <w:t xml:space="preserve"> </w:t>
                            </w:r>
                            <w:r>
                              <w:rPr>
                                <w:color w:val="818181"/>
                                <w:sz w:val="24"/>
                              </w:rPr>
                              <w:t>data</w:t>
                            </w:r>
                          </w:p>
                          <w:p w:rsidR="00BC3A73" w:rsidRDefault="007A705F">
                            <w:pPr>
                              <w:pStyle w:val="ListParagraph"/>
                              <w:numPr>
                                <w:ilvl w:val="0"/>
                                <w:numId w:val="5"/>
                              </w:numPr>
                              <w:tabs>
                                <w:tab w:val="left" w:pos="450"/>
                                <w:tab w:val="left" w:pos="3229"/>
                              </w:tabs>
                              <w:spacing w:before="121"/>
                              <w:rPr>
                                <w:sz w:val="24"/>
                              </w:rPr>
                            </w:pPr>
                            <w:r>
                              <w:rPr>
                                <w:color w:val="818181"/>
                                <w:sz w:val="24"/>
                              </w:rPr>
                              <w:t>Additional data</w:t>
                            </w:r>
                            <w:r>
                              <w:rPr>
                                <w:color w:val="818181"/>
                                <w:spacing w:val="-6"/>
                                <w:sz w:val="24"/>
                              </w:rPr>
                              <w:t xml:space="preserve"> </w:t>
                            </w:r>
                            <w:r>
                              <w:rPr>
                                <w:color w:val="818181"/>
                                <w:sz w:val="24"/>
                              </w:rPr>
                              <w:t xml:space="preserve">source: </w:t>
                            </w:r>
                            <w:r>
                              <w:rPr>
                                <w:color w:val="818181"/>
                                <w:sz w:val="24"/>
                                <w:u w:val="single" w:color="808080"/>
                              </w:rPr>
                              <w:t xml:space="preserve"> </w:t>
                            </w:r>
                            <w:r>
                              <w:rPr>
                                <w:color w:val="818181"/>
                                <w:sz w:val="24"/>
                                <w:u w:val="single" w:color="808080"/>
                              </w:rPr>
                              <w:tab/>
                            </w:r>
                          </w:p>
                          <w:p w:rsidR="00BC3A73" w:rsidRDefault="007A705F">
                            <w:pPr>
                              <w:pStyle w:val="ListParagraph"/>
                              <w:numPr>
                                <w:ilvl w:val="0"/>
                                <w:numId w:val="5"/>
                              </w:numPr>
                              <w:tabs>
                                <w:tab w:val="left" w:pos="450"/>
                                <w:tab w:val="left" w:pos="3229"/>
                              </w:tabs>
                              <w:spacing w:before="122"/>
                              <w:rPr>
                                <w:sz w:val="24"/>
                              </w:rPr>
                            </w:pPr>
                            <w:r>
                              <w:rPr>
                                <w:color w:val="818181"/>
                                <w:sz w:val="24"/>
                              </w:rPr>
                              <w:t>Additional data</w:t>
                            </w:r>
                            <w:r>
                              <w:rPr>
                                <w:color w:val="818181"/>
                                <w:spacing w:val="-6"/>
                                <w:sz w:val="24"/>
                              </w:rPr>
                              <w:t xml:space="preserve"> </w:t>
                            </w:r>
                            <w:r>
                              <w:rPr>
                                <w:color w:val="818181"/>
                                <w:sz w:val="24"/>
                              </w:rPr>
                              <w:t xml:space="preserve">source: </w:t>
                            </w:r>
                            <w:r>
                              <w:rPr>
                                <w:color w:val="818181"/>
                                <w:sz w:val="24"/>
                                <w:u w:val="single" w:color="808080"/>
                              </w:rPr>
                              <w:t xml:space="preserve"> </w:t>
                            </w:r>
                            <w:r>
                              <w:rPr>
                                <w:color w:val="818181"/>
                                <w:sz w:val="24"/>
                                <w:u w:val="single" w:color="80808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7.5pt;margin-top:8.5pt;width:468pt;height:24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" filled="f" strokeweight=".96pt">
                <v:textbox inset="0,0,0,0">
                  <w:txbxContent>
                    <w:p w:rsidR="00BC3A73" w:rsidRDefault="007A705F">
                      <w:pPr>
                        <w:pStyle w:val="ListParagraph"/>
                        <w:numPr>
                          <w:ilvl w:val="0"/>
                          <w:numId w:val="5"/>
                        </w:numPr>
                        <w:tabs>
                          <w:tab w:val="left" w:pos="450"/>
                        </w:tabs>
                        <w:spacing w:before="162"/>
                        <w:rPr>
                          <w:sz w:val="16"/>
                        </w:rPr>
                      </w:pPr>
                      <w:r>
                        <w:rPr>
                          <w:color w:val="818181"/>
                          <w:sz w:val="24"/>
                        </w:rPr>
                        <w:t>Teacher equity gap</w:t>
                      </w:r>
                      <w:r>
                        <w:rPr>
                          <w:color w:val="818181"/>
                          <w:spacing w:val="3"/>
                          <w:sz w:val="24"/>
                        </w:rPr>
                        <w:t xml:space="preserve"> </w:t>
                      </w:r>
                      <w:r>
                        <w:rPr>
                          <w:color w:val="818181"/>
                          <w:sz w:val="24"/>
                        </w:rPr>
                        <w:t>data</w:t>
                      </w:r>
                      <w:hyperlink w:anchor="_bookmark1" w:history="1">
                        <w:r>
                          <w:rPr>
                            <w:color w:val="818181"/>
                            <w:position w:val="9"/>
                            <w:sz w:val="16"/>
                          </w:rPr>
                          <w:t>2</w:t>
                        </w:r>
                      </w:hyperlink>
                    </w:p>
                    <w:p w:rsidR="00BC3A73" w:rsidRDefault="007A705F">
                      <w:pPr>
                        <w:pStyle w:val="ListParagraph"/>
                        <w:numPr>
                          <w:ilvl w:val="0"/>
                          <w:numId w:val="5"/>
                        </w:numPr>
                        <w:tabs>
                          <w:tab w:val="left" w:pos="450"/>
                        </w:tabs>
                        <w:spacing w:before="122" w:line="264" w:lineRule="auto"/>
                        <w:ind w:right="1337"/>
                        <w:rPr>
                          <w:sz w:val="16"/>
                        </w:rPr>
                      </w:pPr>
                      <w:r>
                        <w:rPr>
                          <w:color w:val="818181"/>
                          <w:sz w:val="24"/>
                        </w:rPr>
                        <w:t>Teacher equity gap data spreadsheet. Applies to LEAs in the DC Staffing Data Collaborative.</w:t>
                      </w:r>
                      <w:hyperlink w:anchor="_bookmark2" w:history="1">
                        <w:r>
                          <w:rPr>
                            <w:color w:val="818181"/>
                            <w:position w:val="9"/>
                            <w:sz w:val="16"/>
                          </w:rPr>
                          <w:t>3</w:t>
                        </w:r>
                      </w:hyperlink>
                    </w:p>
                    <w:p w:rsidR="00BC3A73" w:rsidRDefault="007A705F">
                      <w:pPr>
                        <w:pStyle w:val="ListParagraph"/>
                        <w:numPr>
                          <w:ilvl w:val="0"/>
                          <w:numId w:val="5"/>
                        </w:numPr>
                        <w:tabs>
                          <w:tab w:val="left" w:pos="450"/>
                        </w:tabs>
                        <w:spacing w:before="93"/>
                        <w:rPr>
                          <w:sz w:val="24"/>
                        </w:rPr>
                      </w:pPr>
                      <w:r>
                        <w:rPr>
                          <w:color w:val="818181"/>
                          <w:sz w:val="24"/>
                        </w:rPr>
                        <w:t>Teacher effectiveness</w:t>
                      </w:r>
                      <w:r>
                        <w:rPr>
                          <w:color w:val="818181"/>
                          <w:spacing w:val="-7"/>
                          <w:sz w:val="24"/>
                        </w:rPr>
                        <w:t xml:space="preserve"> </w:t>
                      </w:r>
                      <w:r>
                        <w:rPr>
                          <w:color w:val="818181"/>
                          <w:sz w:val="24"/>
                        </w:rPr>
                        <w:t>data</w:t>
                      </w:r>
                    </w:p>
                    <w:p w:rsidR="00BC3A73" w:rsidRDefault="007A705F">
                      <w:pPr>
                        <w:pStyle w:val="ListParagraph"/>
                        <w:numPr>
                          <w:ilvl w:val="0"/>
                          <w:numId w:val="5"/>
                        </w:numPr>
                        <w:tabs>
                          <w:tab w:val="left" w:pos="450"/>
                        </w:tabs>
                        <w:spacing w:before="121" w:line="261" w:lineRule="auto"/>
                        <w:ind w:right="738"/>
                        <w:rPr>
                          <w:sz w:val="16"/>
                        </w:rPr>
                      </w:pPr>
                      <w:r>
                        <w:rPr>
                          <w:color w:val="818181"/>
                          <w:sz w:val="24"/>
                        </w:rPr>
                        <w:t>Insight Survey data: Applies to LEAs in the District of Columbia (DC) Staffing Data Collaborative</w:t>
                      </w:r>
                      <w:hyperlink w:anchor="_bookmark3" w:history="1">
                        <w:r>
                          <w:rPr>
                            <w:color w:val="818181"/>
                            <w:position w:val="9"/>
                            <w:sz w:val="16"/>
                          </w:rPr>
                          <w:t>4</w:t>
                        </w:r>
                      </w:hyperlink>
                    </w:p>
                    <w:p w:rsidR="00BC3A73" w:rsidRDefault="007A705F">
                      <w:pPr>
                        <w:pStyle w:val="ListParagraph"/>
                        <w:numPr>
                          <w:ilvl w:val="0"/>
                          <w:numId w:val="5"/>
                        </w:numPr>
                        <w:tabs>
                          <w:tab w:val="left" w:pos="450"/>
                        </w:tabs>
                        <w:spacing w:before="96" w:line="261" w:lineRule="auto"/>
                        <w:ind w:right="523"/>
                        <w:rPr>
                          <w:sz w:val="16"/>
                        </w:rPr>
                      </w:pPr>
                      <w:r>
                        <w:rPr>
                          <w:color w:val="818181"/>
                          <w:sz w:val="24"/>
                        </w:rPr>
                        <w:t>TNTP (formerly known as The New Teacher Project) Collaborative reports: Applies to LEAs in the DC Staffing Data</w:t>
                      </w:r>
                      <w:r>
                        <w:rPr>
                          <w:color w:val="818181"/>
                          <w:spacing w:val="-5"/>
                          <w:sz w:val="24"/>
                        </w:rPr>
                        <w:t xml:space="preserve"> </w:t>
                      </w:r>
                      <w:r>
                        <w:rPr>
                          <w:color w:val="818181"/>
                          <w:sz w:val="24"/>
                        </w:rPr>
                        <w:t>Collaborative</w:t>
                      </w:r>
                      <w:hyperlink w:anchor="_bookmark4" w:history="1">
                        <w:r>
                          <w:rPr>
                            <w:color w:val="818181"/>
                            <w:position w:val="9"/>
                            <w:sz w:val="16"/>
                          </w:rPr>
                          <w:t>5</w:t>
                        </w:r>
                      </w:hyperlink>
                    </w:p>
                    <w:p w:rsidR="00BC3A73" w:rsidRDefault="007A705F">
                      <w:pPr>
                        <w:pStyle w:val="ListParagraph"/>
                        <w:numPr>
                          <w:ilvl w:val="0"/>
                          <w:numId w:val="5"/>
                        </w:numPr>
                        <w:tabs>
                          <w:tab w:val="left" w:pos="450"/>
                        </w:tabs>
                        <w:spacing w:before="95"/>
                        <w:rPr>
                          <w:sz w:val="24"/>
                        </w:rPr>
                      </w:pPr>
                      <w:r>
                        <w:rPr>
                          <w:color w:val="818181"/>
                          <w:sz w:val="24"/>
                        </w:rPr>
                        <w:t>Within-building</w:t>
                      </w:r>
                      <w:r>
                        <w:rPr>
                          <w:color w:val="818181"/>
                          <w:spacing w:val="-4"/>
                          <w:sz w:val="24"/>
                        </w:rPr>
                        <w:t xml:space="preserve"> </w:t>
                      </w:r>
                      <w:r>
                        <w:rPr>
                          <w:color w:val="818181"/>
                          <w:sz w:val="24"/>
                        </w:rPr>
                        <w:t>data</w:t>
                      </w:r>
                    </w:p>
                    <w:p w:rsidR="00BC3A73" w:rsidRDefault="007A705F">
                      <w:pPr>
                        <w:pStyle w:val="ListParagraph"/>
                        <w:numPr>
                          <w:ilvl w:val="0"/>
                          <w:numId w:val="5"/>
                        </w:numPr>
                        <w:tabs>
                          <w:tab w:val="left" w:pos="450"/>
                          <w:tab w:val="left" w:pos="3229"/>
                        </w:tabs>
                        <w:spacing w:before="121"/>
                        <w:rPr>
                          <w:sz w:val="24"/>
                        </w:rPr>
                      </w:pPr>
                      <w:r>
                        <w:rPr>
                          <w:color w:val="818181"/>
                          <w:sz w:val="24"/>
                        </w:rPr>
                        <w:t>Additional data</w:t>
                      </w:r>
                      <w:r>
                        <w:rPr>
                          <w:color w:val="818181"/>
                          <w:spacing w:val="-6"/>
                          <w:sz w:val="24"/>
                        </w:rPr>
                        <w:t xml:space="preserve"> </w:t>
                      </w:r>
                      <w:r>
                        <w:rPr>
                          <w:color w:val="818181"/>
                          <w:sz w:val="24"/>
                        </w:rPr>
                        <w:t xml:space="preserve">source: </w:t>
                      </w:r>
                      <w:r>
                        <w:rPr>
                          <w:color w:val="818181"/>
                          <w:sz w:val="24"/>
                          <w:u w:val="single" w:color="808080"/>
                        </w:rPr>
                        <w:t xml:space="preserve"> </w:t>
                      </w:r>
                      <w:r>
                        <w:rPr>
                          <w:color w:val="818181"/>
                          <w:sz w:val="24"/>
                          <w:u w:val="single" w:color="808080"/>
                        </w:rPr>
                        <w:tab/>
                      </w:r>
                    </w:p>
                    <w:p w:rsidR="00BC3A73" w:rsidRDefault="007A705F">
                      <w:pPr>
                        <w:pStyle w:val="ListParagraph"/>
                        <w:numPr>
                          <w:ilvl w:val="0"/>
                          <w:numId w:val="5"/>
                        </w:numPr>
                        <w:tabs>
                          <w:tab w:val="left" w:pos="450"/>
                          <w:tab w:val="left" w:pos="3229"/>
                        </w:tabs>
                        <w:spacing w:before="122"/>
                        <w:rPr>
                          <w:sz w:val="24"/>
                        </w:rPr>
                      </w:pPr>
                      <w:r>
                        <w:rPr>
                          <w:color w:val="818181"/>
                          <w:sz w:val="24"/>
                        </w:rPr>
                        <w:t>Additional data</w:t>
                      </w:r>
                      <w:r>
                        <w:rPr>
                          <w:color w:val="818181"/>
                          <w:spacing w:val="-6"/>
                          <w:sz w:val="24"/>
                        </w:rPr>
                        <w:t xml:space="preserve"> </w:t>
                      </w:r>
                      <w:r>
                        <w:rPr>
                          <w:color w:val="818181"/>
                          <w:sz w:val="24"/>
                        </w:rPr>
                        <w:t xml:space="preserve">source: </w:t>
                      </w:r>
                      <w:r>
                        <w:rPr>
                          <w:color w:val="818181"/>
                          <w:sz w:val="24"/>
                          <w:u w:val="single" w:color="808080"/>
                        </w:rPr>
                        <w:t xml:space="preserve"> </w:t>
                      </w:r>
                      <w:r>
                        <w:rPr>
                          <w:color w:val="818181"/>
                          <w:sz w:val="24"/>
                          <w:u w:val="single" w:color="808080"/>
                        </w:rPr>
                        <w:tab/>
                      </w:r>
                    </w:p>
                  </w:txbxContent>
                </v:textbox>
                <w10:wrap type="topAndBottom" anchorx="page"/>
              </v:shape>
            </w:pict>
          </mc:Fallback>
        </mc:AlternateContent>
      </w:r>
    </w:p>
    <w:p w:rsidR="00BC3A73" w:rsidRDefault="00BC3A73">
      <w:pPr>
        <w:pStyle w:val="BodyText"/>
        <w:spacing w:before="8"/>
        <w:rPr>
          <w:b/>
          <w:sz w:val="10"/>
        </w:rPr>
      </w:pPr>
    </w:p>
    <w:p w:rsidR="00BC3A73" w:rsidRDefault="007A705F">
      <w:pPr>
        <w:spacing w:before="88"/>
        <w:ind w:left="120"/>
        <w:rPr>
          <w:b/>
          <w:sz w:val="28"/>
        </w:rPr>
      </w:pPr>
      <w:bookmarkStart w:id="3" w:name="Within-Building_Data"/>
      <w:bookmarkEnd w:id="3"/>
      <w:r>
        <w:rPr>
          <w:b/>
          <w:color w:val="1E4E79"/>
          <w:sz w:val="28"/>
        </w:rPr>
        <w:t>Within-Building Data</w:t>
      </w:r>
    </w:p>
    <w:p w:rsidR="00BC3A73" w:rsidRDefault="007A705F">
      <w:pPr>
        <w:pStyle w:val="BodyText"/>
        <w:spacing w:before="45" w:line="273" w:lineRule="auto"/>
        <w:ind w:left="120" w:right="220"/>
      </w:pPr>
      <w:r>
        <w:t>Recent research shows that even within a single campus, there may be inequitable student access to effective teachers.</w:t>
      </w:r>
      <w:r>
        <w:rPr>
          <w:position w:val="9"/>
          <w:sz w:val="16"/>
        </w:rPr>
        <w:t xml:space="preserve">2 </w:t>
      </w:r>
      <w:r>
        <w:t>Beyond the equity gap calculations shared by OSSE, districts also may choose to examine equitable access by teache</w:t>
      </w:r>
      <w:r>
        <w:t>r level, grade level, or subject area. These analyses allow districts to examine whether populations within a school (e.g. minority students, low income students, students with disabilities, English Language Learners) are systematically served by ineffecti</w:t>
      </w:r>
      <w:r>
        <w:t>ve, out-of-field, and/or novice teachers. This additional effort is worthwhile if districts want to examine equity within a campus. Calculations of equity gaps at the teacher level require district staff to link individual student data to individual teache</w:t>
      </w:r>
      <w:r>
        <w:t>r</w:t>
      </w:r>
      <w:r>
        <w:rPr>
          <w:spacing w:val="-22"/>
        </w:rPr>
        <w:t xml:space="preserve"> </w:t>
      </w:r>
      <w:r>
        <w:t>data.</w:t>
      </w:r>
    </w:p>
    <w:p w:rsidR="00BC3A73" w:rsidRDefault="00BC3A73">
      <w:pPr>
        <w:pStyle w:val="BodyText"/>
        <w:rPr>
          <w:sz w:val="20"/>
        </w:rPr>
      </w:pPr>
    </w:p>
    <w:p w:rsidR="00BC3A73" w:rsidRDefault="007A705F">
      <w:pPr>
        <w:pStyle w:val="BodyText"/>
        <w:spacing w:before="4"/>
        <w:rPr>
          <w:sz w:val="11"/>
        </w:rPr>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111760</wp:posOffset>
                </wp:positionV>
                <wp:extent cx="1828800" cy="0"/>
                <wp:effectExtent l="9525" t="6350" r="9525" b="1270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490A3"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3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" strokeweight=".6pt">
                <w10:wrap type="topAndBottom" anchorx="page"/>
              </v:line>
            </w:pict>
          </mc:Fallback>
        </mc:AlternateContent>
      </w:r>
    </w:p>
    <w:p w:rsidR="00BC3A73" w:rsidRDefault="007A705F">
      <w:pPr>
        <w:spacing w:before="108" w:line="209" w:lineRule="exact"/>
        <w:ind w:left="120"/>
        <w:rPr>
          <w:sz w:val="18"/>
        </w:rPr>
      </w:pPr>
      <w:bookmarkStart w:id="4" w:name="_bookmark1"/>
      <w:bookmarkEnd w:id="4"/>
      <w:r>
        <w:rPr>
          <w:position w:val="6"/>
          <w:sz w:val="12"/>
        </w:rPr>
        <w:t xml:space="preserve">2 </w:t>
      </w:r>
      <w:r>
        <w:rPr>
          <w:sz w:val="18"/>
        </w:rPr>
        <w:t>These data were shared with schools with identified teacher equity gaps in OSSE’s Dear LEA Leader letter dated May 9, 2018.</w:t>
      </w:r>
    </w:p>
    <w:p w:rsidR="00BC3A73" w:rsidRDefault="007A705F">
      <w:pPr>
        <w:spacing w:line="207" w:lineRule="exact"/>
        <w:ind w:left="120"/>
        <w:rPr>
          <w:sz w:val="18"/>
        </w:rPr>
      </w:pPr>
      <w:bookmarkStart w:id="5" w:name="_bookmark2"/>
      <w:bookmarkEnd w:id="5"/>
      <w:r>
        <w:rPr>
          <w:position w:val="6"/>
          <w:sz w:val="12"/>
        </w:rPr>
        <w:t xml:space="preserve">3 </w:t>
      </w:r>
      <w:r>
        <w:rPr>
          <w:sz w:val="18"/>
        </w:rPr>
        <w:t>To request a spreadsheet, LEAs in the DC Staffing Data Collaborative should contact TNTP.</w:t>
      </w:r>
    </w:p>
    <w:p w:rsidR="00BC3A73" w:rsidRDefault="007A705F">
      <w:pPr>
        <w:spacing w:line="207" w:lineRule="exact"/>
        <w:ind w:left="120"/>
        <w:rPr>
          <w:sz w:val="18"/>
        </w:rPr>
      </w:pPr>
      <w:bookmarkStart w:id="6" w:name="_bookmark3"/>
      <w:bookmarkEnd w:id="6"/>
      <w:r>
        <w:rPr>
          <w:position w:val="6"/>
          <w:sz w:val="12"/>
        </w:rPr>
        <w:t xml:space="preserve">4 </w:t>
      </w:r>
      <w:r>
        <w:rPr>
          <w:sz w:val="18"/>
        </w:rPr>
        <w:t>The Insight Survey provides valuable data on teacher perceptions and school climate.</w:t>
      </w:r>
    </w:p>
    <w:p w:rsidR="00BC3A73" w:rsidRDefault="007A705F">
      <w:pPr>
        <w:ind w:left="119" w:right="588"/>
        <w:rPr>
          <w:sz w:val="18"/>
        </w:rPr>
      </w:pPr>
      <w:bookmarkStart w:id="7" w:name="_bookmark4"/>
      <w:bookmarkEnd w:id="7"/>
      <w:r>
        <w:rPr>
          <w:position w:val="6"/>
          <w:sz w:val="12"/>
        </w:rPr>
        <w:t xml:space="preserve">5 </w:t>
      </w:r>
      <w:r>
        <w:rPr>
          <w:sz w:val="18"/>
        </w:rPr>
        <w:t>The TNTP LEA Collaborative Report provides summary analysis and recommendations based on LEA climate and teacher effectiveness data and considers citywide trends.</w:t>
      </w:r>
    </w:p>
    <w:p w:rsidR="00BC3A73" w:rsidRDefault="00BC3A73">
      <w:pPr>
        <w:rPr>
          <w:sz w:val="18"/>
        </w:rPr>
        <w:sectPr w:rsidR="00BC3A73">
          <w:pgSz w:w="12240" w:h="15840"/>
          <w:pgMar w:top="1760" w:right="1220" w:bottom="1520" w:left="1320" w:header="720" w:footer="1324" w:gutter="0"/>
          <w:cols w:space="720"/>
        </w:sectPr>
      </w:pPr>
    </w:p>
    <w:p w:rsidR="00BC3A73" w:rsidRDefault="00BC3A73">
      <w:pPr>
        <w:pStyle w:val="BodyText"/>
        <w:rPr>
          <w:sz w:val="20"/>
        </w:rPr>
      </w:pPr>
    </w:p>
    <w:p w:rsidR="00BC3A73" w:rsidRDefault="007A705F">
      <w:pPr>
        <w:pStyle w:val="Heading1"/>
      </w:pPr>
      <w:bookmarkStart w:id="8" w:name="Step_2:_Predicting_the_Data"/>
      <w:bookmarkEnd w:id="8"/>
      <w:r>
        <w:rPr>
          <w:color w:val="1E4E79"/>
        </w:rPr>
        <w:t>Step 2: Predicting the Data</w:t>
      </w:r>
    </w:p>
    <w:p w:rsidR="00BC3A73" w:rsidRDefault="007A705F">
      <w:pPr>
        <w:pStyle w:val="BodyText"/>
        <w:spacing w:before="181" w:line="276" w:lineRule="auto"/>
        <w:ind w:left="120" w:right="555"/>
      </w:pPr>
      <w:r>
        <w:t>The goal of Step 2 is for LEAs to (1) make predictions and (2) ask questions that bring to the surface past experiences, preconceived ideas, and assumptions.</w:t>
      </w:r>
    </w:p>
    <w:p w:rsidR="00BC3A73" w:rsidRDefault="00BC3A73">
      <w:pPr>
        <w:pStyle w:val="BodyText"/>
        <w:rPr>
          <w:sz w:val="21"/>
        </w:rPr>
      </w:pPr>
    </w:p>
    <w:p w:rsidR="00BC3A73" w:rsidRDefault="007A705F">
      <w:pPr>
        <w:pStyle w:val="BodyText"/>
        <w:ind w:left="120"/>
      </w:pPr>
      <w:r>
        <w:t>LEAs should use the following prompts to fill out the Step 2 Worksheet template.</w:t>
      </w:r>
    </w:p>
    <w:p w:rsidR="00BC3A73" w:rsidRDefault="007A705F">
      <w:pPr>
        <w:pStyle w:val="ListParagraph"/>
        <w:numPr>
          <w:ilvl w:val="0"/>
          <w:numId w:val="6"/>
        </w:numPr>
        <w:tabs>
          <w:tab w:val="left" w:pos="479"/>
          <w:tab w:val="left" w:pos="480"/>
        </w:tabs>
        <w:spacing w:before="160"/>
        <w:ind w:left="480"/>
        <w:rPr>
          <w:sz w:val="24"/>
        </w:rPr>
      </w:pPr>
      <w:r>
        <w:rPr>
          <w:sz w:val="24"/>
        </w:rPr>
        <w:t>What predictions can be made about our data</w:t>
      </w:r>
      <w:r>
        <w:rPr>
          <w:spacing w:val="-10"/>
          <w:sz w:val="24"/>
        </w:rPr>
        <w:t xml:space="preserve"> </w:t>
      </w:r>
      <w:r>
        <w:rPr>
          <w:sz w:val="24"/>
        </w:rPr>
        <w:t>review?</w:t>
      </w:r>
    </w:p>
    <w:p w:rsidR="00BC3A73" w:rsidRDefault="007A705F">
      <w:pPr>
        <w:pStyle w:val="ListParagraph"/>
        <w:numPr>
          <w:ilvl w:val="0"/>
          <w:numId w:val="6"/>
        </w:numPr>
        <w:tabs>
          <w:tab w:val="left" w:pos="479"/>
          <w:tab w:val="left" w:pos="480"/>
        </w:tabs>
        <w:spacing w:before="162"/>
        <w:ind w:left="480"/>
        <w:rPr>
          <w:sz w:val="24"/>
        </w:rPr>
      </w:pPr>
      <w:r>
        <w:rPr>
          <w:sz w:val="24"/>
        </w:rPr>
        <w:t>What questions do we hope to explore during the data</w:t>
      </w:r>
      <w:r>
        <w:rPr>
          <w:spacing w:val="-12"/>
          <w:sz w:val="24"/>
        </w:rPr>
        <w:t xml:space="preserve"> </w:t>
      </w:r>
      <w:r>
        <w:rPr>
          <w:sz w:val="24"/>
        </w:rPr>
        <w:t>review?</w:t>
      </w:r>
    </w:p>
    <w:p w:rsidR="00BC3A73" w:rsidRDefault="00BC3A73">
      <w:pPr>
        <w:pStyle w:val="BodyText"/>
        <w:spacing w:before="7"/>
      </w:pPr>
    </w:p>
    <w:p w:rsidR="00BC3A73" w:rsidRDefault="007A705F">
      <w:pPr>
        <w:pStyle w:val="Heading2"/>
      </w:pPr>
      <w:r>
        <w:t>Step 2 Worksheet</w:t>
      </w:r>
    </w:p>
    <w:p w:rsidR="00BC3A73" w:rsidRDefault="00BC3A73">
      <w:pPr>
        <w:pStyle w:val="BodyText"/>
        <w:rPr>
          <w:b/>
          <w:sz w:val="14"/>
        </w:rPr>
      </w:pPr>
    </w:p>
    <w:tbl>
      <w:tblPr>
        <w:tblW w:w="0" w:type="auto"/>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left w:w="0" w:type="dxa"/>
          <w:right w:w="0" w:type="dxa"/>
        </w:tblCellMar>
        <w:tblLook w:val="01E0" w:firstRow="1" w:lastRow="1" w:firstColumn="1" w:lastColumn="1" w:noHBand="0" w:noVBand="0"/>
      </w:tblPr>
      <w:tblGrid>
        <w:gridCol w:w="1608"/>
        <w:gridCol w:w="7752"/>
      </w:tblGrid>
      <w:tr w:rsidR="00BC3A73">
        <w:trPr>
          <w:trHeight w:hRule="exact" w:val="418"/>
        </w:trPr>
        <w:tc>
          <w:tcPr>
            <w:tcW w:w="1608" w:type="dxa"/>
            <w:tcBorders>
              <w:top w:val="nil"/>
              <w:left w:val="nil"/>
              <w:right w:val="nil"/>
            </w:tcBorders>
            <w:shd w:val="clear" w:color="auto" w:fill="4472C4"/>
          </w:tcPr>
          <w:p w:rsidR="00BC3A73" w:rsidRDefault="007A705F">
            <w:pPr>
              <w:pStyle w:val="TableParagraph"/>
              <w:ind w:left="71"/>
              <w:rPr>
                <w:b/>
              </w:rPr>
            </w:pPr>
            <w:r>
              <w:rPr>
                <w:b/>
                <w:color w:val="FFFFFF"/>
              </w:rPr>
              <w:t>Data Source</w:t>
            </w:r>
          </w:p>
        </w:tc>
        <w:tc>
          <w:tcPr>
            <w:tcW w:w="7752" w:type="dxa"/>
            <w:tcBorders>
              <w:top w:val="nil"/>
              <w:left w:val="nil"/>
              <w:right w:val="nil"/>
            </w:tcBorders>
            <w:shd w:val="clear" w:color="auto" w:fill="4472C4"/>
          </w:tcPr>
          <w:p w:rsidR="00BC3A73" w:rsidRDefault="007A705F">
            <w:pPr>
              <w:pStyle w:val="TableParagraph"/>
              <w:ind w:left="71"/>
              <w:rPr>
                <w:b/>
              </w:rPr>
            </w:pPr>
            <w:r>
              <w:rPr>
                <w:b/>
                <w:color w:val="FFFFFF"/>
              </w:rPr>
              <w:t>Predictions and Questions</w:t>
            </w:r>
          </w:p>
        </w:tc>
      </w:tr>
      <w:tr w:rsidR="00BC3A73">
        <w:trPr>
          <w:trHeight w:hRule="exact" w:val="718"/>
        </w:trPr>
        <w:tc>
          <w:tcPr>
            <w:tcW w:w="1608" w:type="dxa"/>
          </w:tcPr>
          <w:p w:rsidR="00BC3A73" w:rsidRDefault="007A705F">
            <w:pPr>
              <w:pStyle w:val="TableParagraph"/>
              <w:spacing w:line="276" w:lineRule="auto"/>
              <w:ind w:right="196"/>
            </w:pPr>
            <w:r>
              <w:t>Teacher equity gap data</w:t>
            </w:r>
          </w:p>
        </w:tc>
        <w:tc>
          <w:tcPr>
            <w:tcW w:w="7752" w:type="dxa"/>
          </w:tcPr>
          <w:p w:rsidR="00BC3A73" w:rsidRDefault="007A705F">
            <w:pPr>
              <w:pStyle w:val="TableParagraph"/>
            </w:pPr>
            <w:r>
              <w:rPr>
                <w:color w:val="818181"/>
              </w:rPr>
              <w:t>I predict that we’ll see more gaps in our high schools than our elementary schools.</w:t>
            </w:r>
          </w:p>
        </w:tc>
      </w:tr>
      <w:tr w:rsidR="00BC3A73">
        <w:trPr>
          <w:trHeight w:hRule="exact" w:val="2172"/>
        </w:trPr>
        <w:tc>
          <w:tcPr>
            <w:tcW w:w="1608" w:type="dxa"/>
          </w:tcPr>
          <w:p w:rsidR="00BC3A73" w:rsidRDefault="007A705F">
            <w:pPr>
              <w:pStyle w:val="TableParagraph"/>
              <w:spacing w:before="57" w:line="276" w:lineRule="auto"/>
              <w:ind w:right="165"/>
            </w:pPr>
            <w:r>
              <w:t>Other data sources (e.g., Insight Survey, DC Staffing Data Collaborative reports)</w:t>
            </w:r>
          </w:p>
        </w:tc>
        <w:tc>
          <w:tcPr>
            <w:tcW w:w="7752" w:type="dxa"/>
          </w:tcPr>
          <w:p w:rsidR="00BC3A73" w:rsidRDefault="00BC3A73"/>
        </w:tc>
      </w:tr>
    </w:tbl>
    <w:p w:rsidR="00BC3A73" w:rsidRDefault="00BC3A73">
      <w:pPr>
        <w:sectPr w:rsidR="00BC3A73">
          <w:pgSz w:w="12240" w:h="15840"/>
          <w:pgMar w:top="1760" w:right="1300" w:bottom="1520" w:left="1320" w:header="720" w:footer="1324" w:gutter="0"/>
          <w:cols w:space="720"/>
        </w:sectPr>
      </w:pPr>
    </w:p>
    <w:p w:rsidR="00BC3A73" w:rsidRDefault="00BC3A73">
      <w:pPr>
        <w:pStyle w:val="BodyText"/>
        <w:rPr>
          <w:b/>
          <w:sz w:val="20"/>
        </w:rPr>
      </w:pPr>
    </w:p>
    <w:p w:rsidR="00BC3A73" w:rsidRDefault="007A705F">
      <w:pPr>
        <w:spacing w:before="229"/>
        <w:ind w:left="120"/>
        <w:rPr>
          <w:b/>
          <w:sz w:val="36"/>
        </w:rPr>
      </w:pPr>
      <w:bookmarkStart w:id="9" w:name="Step_3:_Observing_the_Data"/>
      <w:bookmarkEnd w:id="9"/>
      <w:r>
        <w:rPr>
          <w:b/>
          <w:color w:val="1E4E79"/>
          <w:sz w:val="36"/>
        </w:rPr>
        <w:t>Step 3: Observing the Data</w:t>
      </w:r>
    </w:p>
    <w:p w:rsidR="00BC3A73" w:rsidRPr="007A705F" w:rsidRDefault="005F33A1">
      <w:pPr>
        <w:pStyle w:val="BodyText"/>
        <w:spacing w:before="181" w:line="276" w:lineRule="auto"/>
        <w:ind w:left="120" w:right="548"/>
        <w:rPr>
          <w:i/>
        </w:rPr>
      </w:pPr>
      <w:r w:rsidRPr="007A705F">
        <w:rPr>
          <w:i/>
        </w:rPr>
        <w:t>Please note:</w:t>
      </w:r>
      <w:r w:rsidR="007A705F" w:rsidRPr="007A705F">
        <w:rPr>
          <w:i/>
        </w:rPr>
        <w:t xml:space="preserve"> large LEAs should skip to the expanded version of Step 3 on the next page. </w:t>
      </w:r>
      <w:r w:rsidRPr="007A705F">
        <w:rPr>
          <w:i/>
        </w:rPr>
        <w:t xml:space="preserve"> </w:t>
      </w:r>
    </w:p>
    <w:p w:rsidR="00BC3A73" w:rsidRDefault="00BC3A73">
      <w:pPr>
        <w:pStyle w:val="BodyText"/>
        <w:rPr>
          <w:sz w:val="21"/>
        </w:rPr>
      </w:pPr>
    </w:p>
    <w:p w:rsidR="00BC3A73" w:rsidRDefault="007A705F">
      <w:pPr>
        <w:pStyle w:val="BodyText"/>
        <w:spacing w:line="276" w:lineRule="auto"/>
        <w:ind w:left="120" w:right="119"/>
      </w:pPr>
      <w:r>
        <w:t>The goal of Step 3 is to identify patterns and trends in the data. LEAs should review the data and note data points that are important or unexpected, raise questions, and/or point to patterns. At this stage, LEAs should avoid taking the next step of interp</w:t>
      </w:r>
      <w:r>
        <w:t>reting the cause of the patterns (the “why”) or drawing</w:t>
      </w:r>
      <w:r>
        <w:rPr>
          <w:spacing w:val="-5"/>
        </w:rPr>
        <w:t xml:space="preserve"> </w:t>
      </w:r>
      <w:r>
        <w:t>conclusions.</w:t>
      </w:r>
    </w:p>
    <w:p w:rsidR="00BC3A73" w:rsidRDefault="007A705F">
      <w:pPr>
        <w:pStyle w:val="ListParagraph"/>
        <w:numPr>
          <w:ilvl w:val="0"/>
          <w:numId w:val="6"/>
        </w:numPr>
        <w:tabs>
          <w:tab w:val="left" w:pos="479"/>
          <w:tab w:val="left" w:pos="480"/>
        </w:tabs>
        <w:spacing w:before="121" w:line="276" w:lineRule="auto"/>
        <w:ind w:left="480" w:right="474"/>
        <w:rPr>
          <w:sz w:val="24"/>
        </w:rPr>
      </w:pPr>
      <w:r>
        <w:rPr>
          <w:sz w:val="24"/>
        </w:rPr>
        <w:t>For this step, LEAs should include leaders who have an LEA-wide strategic and programmatic understanding of equity planning, as well as data managers or analysts</w:t>
      </w:r>
      <w:r>
        <w:rPr>
          <w:spacing w:val="-19"/>
          <w:sz w:val="24"/>
        </w:rPr>
        <w:t xml:space="preserve"> </w:t>
      </w:r>
      <w:r>
        <w:rPr>
          <w:sz w:val="24"/>
        </w:rPr>
        <w:t>who understand the struct</w:t>
      </w:r>
      <w:r>
        <w:rPr>
          <w:sz w:val="24"/>
        </w:rPr>
        <w:t>ure of LEA-wide</w:t>
      </w:r>
      <w:r>
        <w:rPr>
          <w:spacing w:val="-11"/>
          <w:sz w:val="24"/>
        </w:rPr>
        <w:t xml:space="preserve"> </w:t>
      </w:r>
      <w:r>
        <w:rPr>
          <w:sz w:val="24"/>
        </w:rPr>
        <w:t>data.</w:t>
      </w:r>
    </w:p>
    <w:p w:rsidR="00BC3A73" w:rsidRDefault="007A705F">
      <w:pPr>
        <w:pStyle w:val="ListParagraph"/>
        <w:numPr>
          <w:ilvl w:val="0"/>
          <w:numId w:val="6"/>
        </w:numPr>
        <w:tabs>
          <w:tab w:val="left" w:pos="479"/>
          <w:tab w:val="left" w:pos="480"/>
        </w:tabs>
        <w:spacing w:line="276" w:lineRule="auto"/>
        <w:ind w:left="480" w:right="359"/>
        <w:rPr>
          <w:sz w:val="24"/>
        </w:rPr>
      </w:pPr>
      <w:r>
        <w:rPr>
          <w:sz w:val="24"/>
        </w:rPr>
        <w:t>LEAs may complete this exercise on paper or online, using highlighters or the “comments” feature to make</w:t>
      </w:r>
      <w:r>
        <w:rPr>
          <w:spacing w:val="-4"/>
          <w:sz w:val="24"/>
        </w:rPr>
        <w:t xml:space="preserve"> </w:t>
      </w:r>
      <w:r>
        <w:rPr>
          <w:sz w:val="24"/>
        </w:rPr>
        <w:t>notes.</w:t>
      </w:r>
    </w:p>
    <w:p w:rsidR="00BC3A73" w:rsidRDefault="007A705F">
      <w:pPr>
        <w:pStyle w:val="ListParagraph"/>
        <w:numPr>
          <w:ilvl w:val="0"/>
          <w:numId w:val="6"/>
        </w:numPr>
        <w:tabs>
          <w:tab w:val="left" w:pos="479"/>
          <w:tab w:val="left" w:pos="480"/>
        </w:tabs>
        <w:spacing w:line="276" w:lineRule="auto"/>
        <w:ind w:left="480" w:right="192"/>
        <w:rPr>
          <w:sz w:val="24"/>
        </w:rPr>
      </w:pPr>
      <w:r>
        <w:rPr>
          <w:sz w:val="24"/>
        </w:rPr>
        <w:t>This can be done in a whole-group or small-group discussion, with a notetaker recording key discussion points in the Step 3</w:t>
      </w:r>
      <w:r>
        <w:rPr>
          <w:spacing w:val="-10"/>
          <w:sz w:val="24"/>
        </w:rPr>
        <w:t xml:space="preserve"> </w:t>
      </w:r>
      <w:r>
        <w:rPr>
          <w:sz w:val="24"/>
        </w:rPr>
        <w:t>Worksheet.</w:t>
      </w:r>
    </w:p>
    <w:p w:rsidR="00BC3A73" w:rsidRDefault="007A705F">
      <w:pPr>
        <w:pStyle w:val="ListParagraph"/>
        <w:numPr>
          <w:ilvl w:val="0"/>
          <w:numId w:val="6"/>
        </w:numPr>
        <w:tabs>
          <w:tab w:val="left" w:pos="479"/>
          <w:tab w:val="left" w:pos="480"/>
        </w:tabs>
        <w:spacing w:line="276" w:lineRule="auto"/>
        <w:ind w:left="480" w:right="499"/>
        <w:rPr>
          <w:sz w:val="24"/>
        </w:rPr>
      </w:pPr>
      <w:r>
        <w:rPr>
          <w:sz w:val="24"/>
        </w:rPr>
        <w:t>LEAs that are part of the DC Staffing Data Collaborative may wish to contact TNTP and request that they receive their equ</w:t>
      </w:r>
      <w:r>
        <w:rPr>
          <w:sz w:val="24"/>
        </w:rPr>
        <w:t>ity data in spreadsheet form, to supplement the PDF file sent by OSSE on May 9,</w:t>
      </w:r>
      <w:r>
        <w:rPr>
          <w:spacing w:val="-5"/>
          <w:sz w:val="24"/>
        </w:rPr>
        <w:t xml:space="preserve"> </w:t>
      </w:r>
      <w:r>
        <w:rPr>
          <w:sz w:val="24"/>
        </w:rPr>
        <w:t>2018.</w:t>
      </w:r>
    </w:p>
    <w:p w:rsidR="00BC3A73" w:rsidRDefault="00BC3A73">
      <w:pPr>
        <w:pStyle w:val="BodyText"/>
        <w:spacing w:before="2"/>
        <w:rPr>
          <w:sz w:val="21"/>
        </w:rPr>
      </w:pPr>
    </w:p>
    <w:p w:rsidR="00BC3A73" w:rsidRDefault="007A705F">
      <w:pPr>
        <w:pStyle w:val="Heading2"/>
      </w:pPr>
      <w:r>
        <w:t>Step 3 Worksheet</w:t>
      </w:r>
    </w:p>
    <w:p w:rsidR="00BC3A73" w:rsidRDefault="00BC3A73">
      <w:pPr>
        <w:pStyle w:val="BodyText"/>
        <w:spacing w:before="10"/>
        <w:rPr>
          <w:b/>
          <w:sz w:val="13"/>
        </w:rPr>
      </w:pPr>
    </w:p>
    <w:tbl>
      <w:tblPr>
        <w:tblW w:w="0" w:type="auto"/>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left w:w="0" w:type="dxa"/>
          <w:right w:w="0" w:type="dxa"/>
        </w:tblCellMar>
        <w:tblLook w:val="01E0" w:firstRow="1" w:lastRow="1" w:firstColumn="1" w:lastColumn="1" w:noHBand="0" w:noVBand="0"/>
      </w:tblPr>
      <w:tblGrid>
        <w:gridCol w:w="1549"/>
        <w:gridCol w:w="7465"/>
      </w:tblGrid>
      <w:tr w:rsidR="00BC3A73">
        <w:trPr>
          <w:trHeight w:hRule="exact" w:val="607"/>
        </w:trPr>
        <w:tc>
          <w:tcPr>
            <w:tcW w:w="1549" w:type="dxa"/>
            <w:tcBorders>
              <w:top w:val="nil"/>
              <w:left w:val="nil"/>
              <w:right w:val="nil"/>
            </w:tcBorders>
            <w:shd w:val="clear" w:color="auto" w:fill="4472C4"/>
          </w:tcPr>
          <w:p w:rsidR="00BC3A73" w:rsidRDefault="007A705F">
            <w:pPr>
              <w:pStyle w:val="TableParagraph"/>
              <w:ind w:left="71"/>
              <w:rPr>
                <w:b/>
              </w:rPr>
            </w:pPr>
            <w:r>
              <w:rPr>
                <w:b/>
                <w:color w:val="FFFFFF"/>
              </w:rPr>
              <w:t>Data Source</w:t>
            </w:r>
          </w:p>
        </w:tc>
        <w:tc>
          <w:tcPr>
            <w:tcW w:w="7465" w:type="dxa"/>
            <w:tcBorders>
              <w:top w:val="nil"/>
              <w:left w:val="nil"/>
              <w:right w:val="nil"/>
            </w:tcBorders>
            <w:shd w:val="clear" w:color="auto" w:fill="4472C4"/>
          </w:tcPr>
          <w:p w:rsidR="00BC3A73" w:rsidRDefault="007A705F">
            <w:pPr>
              <w:pStyle w:val="TableParagraph"/>
              <w:ind w:left="71"/>
              <w:rPr>
                <w:b/>
              </w:rPr>
            </w:pPr>
            <w:r>
              <w:rPr>
                <w:b/>
                <w:color w:val="FFFFFF"/>
              </w:rPr>
              <w:t>Data Points That “Jump off the Page,” Patterns, or Trends</w:t>
            </w:r>
          </w:p>
        </w:tc>
      </w:tr>
      <w:tr w:rsidR="00BC3A73">
        <w:trPr>
          <w:trHeight w:hRule="exact" w:val="716"/>
        </w:trPr>
        <w:tc>
          <w:tcPr>
            <w:tcW w:w="1549" w:type="dxa"/>
          </w:tcPr>
          <w:p w:rsidR="00BC3A73" w:rsidRDefault="007A705F">
            <w:pPr>
              <w:pStyle w:val="TableParagraph"/>
              <w:spacing w:line="276" w:lineRule="auto"/>
              <w:ind w:right="137"/>
            </w:pPr>
            <w:r>
              <w:t>Teacher equity gap data</w:t>
            </w:r>
          </w:p>
        </w:tc>
        <w:tc>
          <w:tcPr>
            <w:tcW w:w="7465" w:type="dxa"/>
          </w:tcPr>
          <w:p w:rsidR="00BC3A73" w:rsidRDefault="007A705F">
            <w:pPr>
              <w:pStyle w:val="TableParagraph"/>
              <w:spacing w:line="276" w:lineRule="auto"/>
              <w:ind w:right="480"/>
            </w:pPr>
            <w:r>
              <w:rPr>
                <w:color w:val="818181"/>
              </w:rPr>
              <w:t>Victory PCS has high rates of out-of-field teachers in schools serving students from low-income and minority families and in low-performing schools.</w:t>
            </w:r>
          </w:p>
        </w:tc>
      </w:tr>
      <w:tr w:rsidR="00BC3A73">
        <w:trPr>
          <w:trHeight w:hRule="exact" w:val="1008"/>
        </w:trPr>
        <w:tc>
          <w:tcPr>
            <w:tcW w:w="1549" w:type="dxa"/>
          </w:tcPr>
          <w:p w:rsidR="00BC3A73" w:rsidRDefault="007A705F">
            <w:pPr>
              <w:pStyle w:val="TableParagraph"/>
              <w:spacing w:line="276" w:lineRule="auto"/>
              <w:ind w:right="137"/>
            </w:pPr>
            <w:r>
              <w:t xml:space="preserve">Teacher </w:t>
            </w:r>
            <w:r>
              <w:rPr>
                <w:w w:val="95"/>
              </w:rPr>
              <w:t xml:space="preserve">effectiveness </w:t>
            </w:r>
            <w:r>
              <w:t>data</w:t>
            </w:r>
          </w:p>
        </w:tc>
        <w:tc>
          <w:tcPr>
            <w:tcW w:w="7465" w:type="dxa"/>
          </w:tcPr>
          <w:p w:rsidR="00BC3A73" w:rsidRDefault="007A705F">
            <w:pPr>
              <w:pStyle w:val="TableParagraph"/>
              <w:spacing w:line="276" w:lineRule="auto"/>
              <w:ind w:right="683"/>
            </w:pPr>
            <w:r>
              <w:rPr>
                <w:color w:val="818181"/>
              </w:rPr>
              <w:t>Victory PCS has a high rate of ineffective teachers in low-income and high- min</w:t>
            </w:r>
            <w:r>
              <w:rPr>
                <w:color w:val="818181"/>
              </w:rPr>
              <w:t>ority schools.</w:t>
            </w:r>
          </w:p>
        </w:tc>
      </w:tr>
      <w:tr w:rsidR="00BC3A73">
        <w:trPr>
          <w:trHeight w:hRule="exact" w:val="1590"/>
        </w:trPr>
        <w:tc>
          <w:tcPr>
            <w:tcW w:w="1549" w:type="dxa"/>
          </w:tcPr>
          <w:p w:rsidR="00BC3A73" w:rsidRDefault="007A705F">
            <w:pPr>
              <w:pStyle w:val="TableParagraph"/>
              <w:spacing w:line="276" w:lineRule="auto"/>
              <w:ind w:right="167"/>
            </w:pPr>
            <w:r>
              <w:t>Other data (e.g., Insight Survey, TNTP collaborative report)</w:t>
            </w:r>
          </w:p>
        </w:tc>
        <w:tc>
          <w:tcPr>
            <w:tcW w:w="7465" w:type="dxa"/>
          </w:tcPr>
          <w:p w:rsidR="00BC3A73" w:rsidRDefault="00BC3A73"/>
        </w:tc>
      </w:tr>
    </w:tbl>
    <w:p w:rsidR="00BC3A73" w:rsidRDefault="00BC3A73">
      <w:pPr>
        <w:sectPr w:rsidR="00BC3A73">
          <w:pgSz w:w="12240" w:h="15840"/>
          <w:pgMar w:top="1760" w:right="1320" w:bottom="1520" w:left="1320" w:header="720" w:footer="1324" w:gutter="0"/>
          <w:cols w:space="720"/>
        </w:sectPr>
      </w:pPr>
    </w:p>
    <w:p w:rsidR="00BC3A73" w:rsidRDefault="00BC3A73">
      <w:pPr>
        <w:pStyle w:val="BodyText"/>
        <w:rPr>
          <w:b/>
          <w:sz w:val="20"/>
        </w:rPr>
      </w:pPr>
    </w:p>
    <w:p w:rsidR="00BC3A73" w:rsidRDefault="007A705F">
      <w:pPr>
        <w:spacing w:before="229"/>
        <w:ind w:left="120"/>
        <w:rPr>
          <w:b/>
          <w:sz w:val="36"/>
        </w:rPr>
      </w:pPr>
      <w:bookmarkStart w:id="10" w:name="Step_3_Expanded_for_Large_LEAs:_Observin"/>
      <w:bookmarkEnd w:id="10"/>
      <w:r>
        <w:rPr>
          <w:b/>
          <w:color w:val="1E4E79"/>
          <w:sz w:val="36"/>
        </w:rPr>
        <w:t xml:space="preserve">Step 3 </w:t>
      </w:r>
      <w:r>
        <w:rPr>
          <w:b/>
          <w:i/>
          <w:color w:val="1E4E79"/>
          <w:sz w:val="36"/>
        </w:rPr>
        <w:t>Expanded for Large LEAs</w:t>
      </w:r>
      <w:r>
        <w:rPr>
          <w:b/>
          <w:color w:val="1E4E79"/>
          <w:sz w:val="36"/>
        </w:rPr>
        <w:t>: Observing the Data</w:t>
      </w:r>
    </w:p>
    <w:p w:rsidR="00BC3A73" w:rsidRPr="007A705F" w:rsidRDefault="007A705F">
      <w:pPr>
        <w:pStyle w:val="BodyText"/>
        <w:spacing w:before="181"/>
        <w:ind w:left="120"/>
        <w:rPr>
          <w:i/>
        </w:rPr>
      </w:pPr>
      <w:r w:rsidRPr="007A705F">
        <w:rPr>
          <w:i/>
        </w:rPr>
        <w:t>This expanded version of Step 3 provides instructions for large LEAs.</w:t>
      </w:r>
    </w:p>
    <w:p w:rsidR="00BC3A73" w:rsidRDefault="00BC3A73">
      <w:pPr>
        <w:pStyle w:val="BodyText"/>
        <w:spacing w:before="4"/>
      </w:pPr>
    </w:p>
    <w:p w:rsidR="00BC3A73" w:rsidRDefault="007A705F">
      <w:pPr>
        <w:pStyle w:val="BodyText"/>
        <w:spacing w:before="1" w:line="276" w:lineRule="auto"/>
        <w:ind w:left="120" w:right="348"/>
      </w:pPr>
      <w:r>
        <w:t xml:space="preserve">The goal of Step 3 is to identify patterns and trends in the data, noting data points that are important, unexpected, raise questions, and/or point to patters. At this stage, LEAs should avoid taking the next step of interpreting the cause of the patterns </w:t>
      </w:r>
      <w:r>
        <w:t>(the “why”) or drawing conclusions</w:t>
      </w:r>
    </w:p>
    <w:p w:rsidR="00BC3A73" w:rsidRDefault="007A705F">
      <w:pPr>
        <w:pStyle w:val="ListParagraph"/>
        <w:numPr>
          <w:ilvl w:val="0"/>
          <w:numId w:val="6"/>
        </w:numPr>
        <w:tabs>
          <w:tab w:val="left" w:pos="479"/>
          <w:tab w:val="left" w:pos="480"/>
        </w:tabs>
        <w:spacing w:before="122" w:line="276" w:lineRule="auto"/>
        <w:ind w:left="480" w:right="459"/>
        <w:rPr>
          <w:sz w:val="24"/>
        </w:rPr>
      </w:pPr>
      <w:r>
        <w:rPr>
          <w:sz w:val="24"/>
        </w:rPr>
        <w:t>LEAs that are part of the DC Staffing Data Collaborative should contact TNTP and request that they receive their equity data in spreadsheet form, to supplement the PDF file sent by OSSE on May 9,</w:t>
      </w:r>
      <w:r>
        <w:rPr>
          <w:spacing w:val="-4"/>
          <w:sz w:val="24"/>
        </w:rPr>
        <w:t xml:space="preserve"> </w:t>
      </w:r>
      <w:r>
        <w:rPr>
          <w:sz w:val="24"/>
        </w:rPr>
        <w:t>2018.</w:t>
      </w:r>
    </w:p>
    <w:p w:rsidR="00BC3A73" w:rsidRDefault="007A705F">
      <w:pPr>
        <w:pStyle w:val="ListParagraph"/>
        <w:numPr>
          <w:ilvl w:val="0"/>
          <w:numId w:val="6"/>
        </w:numPr>
        <w:tabs>
          <w:tab w:val="left" w:pos="479"/>
          <w:tab w:val="left" w:pos="480"/>
        </w:tabs>
        <w:spacing w:line="276" w:lineRule="auto"/>
        <w:ind w:left="480" w:right="526"/>
        <w:rPr>
          <w:sz w:val="24"/>
        </w:rPr>
      </w:pPr>
      <w:r>
        <w:rPr>
          <w:sz w:val="24"/>
        </w:rPr>
        <w:t>For this step, LEAs should include leaders who have an LEA-wide strategic and programmatic understanding of equity planning, as well as data managers or data</w:t>
      </w:r>
      <w:r>
        <w:rPr>
          <w:spacing w:val="-19"/>
          <w:sz w:val="24"/>
        </w:rPr>
        <w:t xml:space="preserve"> </w:t>
      </w:r>
      <w:r>
        <w:rPr>
          <w:sz w:val="24"/>
        </w:rPr>
        <w:t>analysts.</w:t>
      </w:r>
    </w:p>
    <w:p w:rsidR="00BC3A73" w:rsidRDefault="007A705F">
      <w:pPr>
        <w:pStyle w:val="ListParagraph"/>
        <w:numPr>
          <w:ilvl w:val="0"/>
          <w:numId w:val="6"/>
        </w:numPr>
        <w:tabs>
          <w:tab w:val="left" w:pos="479"/>
          <w:tab w:val="left" w:pos="480"/>
        </w:tabs>
        <w:spacing w:line="276" w:lineRule="auto"/>
        <w:ind w:left="480" w:right="384"/>
        <w:rPr>
          <w:sz w:val="24"/>
        </w:rPr>
      </w:pPr>
      <w:r>
        <w:rPr>
          <w:spacing w:val="-4"/>
          <w:sz w:val="24"/>
        </w:rPr>
        <w:t>LEAs</w:t>
      </w:r>
      <w:r>
        <w:rPr>
          <w:spacing w:val="-8"/>
          <w:sz w:val="24"/>
        </w:rPr>
        <w:t xml:space="preserve"> </w:t>
      </w:r>
      <w:r>
        <w:rPr>
          <w:spacing w:val="-4"/>
          <w:sz w:val="24"/>
        </w:rPr>
        <w:t>should</w:t>
      </w:r>
      <w:r>
        <w:rPr>
          <w:spacing w:val="-8"/>
          <w:sz w:val="24"/>
        </w:rPr>
        <w:t xml:space="preserve"> </w:t>
      </w:r>
      <w:r>
        <w:rPr>
          <w:spacing w:val="-4"/>
          <w:sz w:val="24"/>
        </w:rPr>
        <w:t>plan</w:t>
      </w:r>
      <w:r>
        <w:rPr>
          <w:spacing w:val="-8"/>
          <w:sz w:val="24"/>
        </w:rPr>
        <w:t xml:space="preserve"> </w:t>
      </w:r>
      <w:r>
        <w:rPr>
          <w:spacing w:val="-3"/>
          <w:sz w:val="24"/>
        </w:rPr>
        <w:t>to</w:t>
      </w:r>
      <w:r>
        <w:rPr>
          <w:spacing w:val="-7"/>
          <w:sz w:val="24"/>
        </w:rPr>
        <w:t xml:space="preserve"> </w:t>
      </w:r>
      <w:r>
        <w:rPr>
          <w:spacing w:val="-5"/>
          <w:sz w:val="24"/>
        </w:rPr>
        <w:t>designate</w:t>
      </w:r>
      <w:r>
        <w:rPr>
          <w:spacing w:val="-6"/>
          <w:sz w:val="24"/>
        </w:rPr>
        <w:t xml:space="preserve"> </w:t>
      </w:r>
      <w:r>
        <w:rPr>
          <w:spacing w:val="-3"/>
          <w:sz w:val="24"/>
        </w:rPr>
        <w:t>at</w:t>
      </w:r>
      <w:r>
        <w:rPr>
          <w:spacing w:val="-7"/>
          <w:sz w:val="24"/>
        </w:rPr>
        <w:t xml:space="preserve"> </w:t>
      </w:r>
      <w:r>
        <w:rPr>
          <w:spacing w:val="-4"/>
          <w:sz w:val="24"/>
        </w:rPr>
        <w:t>least</w:t>
      </w:r>
      <w:r>
        <w:rPr>
          <w:spacing w:val="-7"/>
          <w:sz w:val="24"/>
        </w:rPr>
        <w:t xml:space="preserve"> </w:t>
      </w:r>
      <w:r>
        <w:rPr>
          <w:spacing w:val="-3"/>
          <w:sz w:val="24"/>
        </w:rPr>
        <w:t>one</w:t>
      </w:r>
      <w:r>
        <w:rPr>
          <w:spacing w:val="-6"/>
          <w:sz w:val="24"/>
        </w:rPr>
        <w:t xml:space="preserve"> </w:t>
      </w:r>
      <w:r>
        <w:rPr>
          <w:spacing w:val="-4"/>
          <w:sz w:val="24"/>
        </w:rPr>
        <w:t>data</w:t>
      </w:r>
      <w:r>
        <w:rPr>
          <w:spacing w:val="-8"/>
          <w:sz w:val="24"/>
        </w:rPr>
        <w:t xml:space="preserve"> </w:t>
      </w:r>
      <w:r>
        <w:rPr>
          <w:spacing w:val="-4"/>
          <w:sz w:val="24"/>
        </w:rPr>
        <w:t>“point</w:t>
      </w:r>
      <w:r>
        <w:rPr>
          <w:spacing w:val="-7"/>
          <w:sz w:val="24"/>
        </w:rPr>
        <w:t xml:space="preserve"> </w:t>
      </w:r>
      <w:r>
        <w:rPr>
          <w:spacing w:val="-4"/>
          <w:sz w:val="24"/>
        </w:rPr>
        <w:t>person”</w:t>
      </w:r>
      <w:r>
        <w:rPr>
          <w:spacing w:val="-8"/>
          <w:sz w:val="24"/>
        </w:rPr>
        <w:t xml:space="preserve"> </w:t>
      </w:r>
      <w:r>
        <w:rPr>
          <w:spacing w:val="-3"/>
          <w:sz w:val="24"/>
        </w:rPr>
        <w:t>to</w:t>
      </w:r>
      <w:r>
        <w:rPr>
          <w:spacing w:val="-7"/>
          <w:sz w:val="24"/>
        </w:rPr>
        <w:t xml:space="preserve"> </w:t>
      </w:r>
      <w:r>
        <w:rPr>
          <w:spacing w:val="-4"/>
          <w:sz w:val="24"/>
        </w:rPr>
        <w:t>organize</w:t>
      </w:r>
      <w:r>
        <w:rPr>
          <w:spacing w:val="-8"/>
          <w:sz w:val="24"/>
        </w:rPr>
        <w:t xml:space="preserve"> </w:t>
      </w:r>
      <w:r>
        <w:rPr>
          <w:spacing w:val="-3"/>
          <w:sz w:val="24"/>
        </w:rPr>
        <w:t>and</w:t>
      </w:r>
      <w:r>
        <w:rPr>
          <w:spacing w:val="-8"/>
          <w:sz w:val="24"/>
        </w:rPr>
        <w:t xml:space="preserve"> </w:t>
      </w:r>
      <w:r>
        <w:rPr>
          <w:spacing w:val="-4"/>
          <w:sz w:val="24"/>
        </w:rPr>
        <w:t>analyze</w:t>
      </w:r>
      <w:r>
        <w:rPr>
          <w:spacing w:val="-8"/>
          <w:sz w:val="24"/>
        </w:rPr>
        <w:t xml:space="preserve"> </w:t>
      </w:r>
      <w:r>
        <w:rPr>
          <w:spacing w:val="-3"/>
          <w:sz w:val="24"/>
        </w:rPr>
        <w:t>t</w:t>
      </w:r>
      <w:r>
        <w:rPr>
          <w:spacing w:val="-3"/>
          <w:sz w:val="24"/>
        </w:rPr>
        <w:t>he</w:t>
      </w:r>
      <w:r>
        <w:rPr>
          <w:spacing w:val="-6"/>
          <w:sz w:val="24"/>
        </w:rPr>
        <w:t xml:space="preserve"> </w:t>
      </w:r>
      <w:r>
        <w:rPr>
          <w:spacing w:val="-5"/>
          <w:sz w:val="24"/>
        </w:rPr>
        <w:t xml:space="preserve">data, </w:t>
      </w:r>
      <w:r>
        <w:rPr>
          <w:spacing w:val="-3"/>
          <w:sz w:val="24"/>
        </w:rPr>
        <w:t xml:space="preserve">via the </w:t>
      </w:r>
      <w:r>
        <w:rPr>
          <w:spacing w:val="-4"/>
          <w:sz w:val="24"/>
        </w:rPr>
        <w:t xml:space="preserve">approaches </w:t>
      </w:r>
      <w:r>
        <w:rPr>
          <w:spacing w:val="-3"/>
          <w:sz w:val="24"/>
        </w:rPr>
        <w:t xml:space="preserve">the </w:t>
      </w:r>
      <w:r>
        <w:rPr>
          <w:spacing w:val="-4"/>
          <w:sz w:val="24"/>
        </w:rPr>
        <w:t xml:space="preserve">group decides. </w:t>
      </w:r>
      <w:r>
        <w:rPr>
          <w:spacing w:val="-3"/>
          <w:sz w:val="24"/>
        </w:rPr>
        <w:t xml:space="preserve">It </w:t>
      </w:r>
      <w:r>
        <w:rPr>
          <w:sz w:val="24"/>
        </w:rPr>
        <w:t xml:space="preserve">is </w:t>
      </w:r>
      <w:r>
        <w:rPr>
          <w:spacing w:val="-5"/>
          <w:sz w:val="24"/>
        </w:rPr>
        <w:t xml:space="preserve">recommended </w:t>
      </w:r>
      <w:r>
        <w:rPr>
          <w:spacing w:val="-4"/>
          <w:sz w:val="24"/>
        </w:rPr>
        <w:t xml:space="preserve">that </w:t>
      </w:r>
      <w:r>
        <w:rPr>
          <w:spacing w:val="-3"/>
          <w:sz w:val="24"/>
        </w:rPr>
        <w:t xml:space="preserve">the </w:t>
      </w:r>
      <w:r>
        <w:rPr>
          <w:spacing w:val="-4"/>
          <w:sz w:val="24"/>
        </w:rPr>
        <w:t xml:space="preserve">LEAs choose </w:t>
      </w:r>
      <w:r>
        <w:rPr>
          <w:spacing w:val="-5"/>
          <w:sz w:val="24"/>
        </w:rPr>
        <w:t xml:space="preserve">individuals(s) </w:t>
      </w:r>
      <w:r>
        <w:rPr>
          <w:spacing w:val="-4"/>
          <w:sz w:val="24"/>
        </w:rPr>
        <w:t xml:space="preserve">with </w:t>
      </w:r>
      <w:r>
        <w:rPr>
          <w:spacing w:val="-3"/>
          <w:sz w:val="24"/>
        </w:rPr>
        <w:t xml:space="preserve">the </w:t>
      </w:r>
      <w:r>
        <w:rPr>
          <w:spacing w:val="-5"/>
          <w:sz w:val="24"/>
        </w:rPr>
        <w:t xml:space="preserve">appropriate </w:t>
      </w:r>
      <w:r>
        <w:rPr>
          <w:spacing w:val="-4"/>
          <w:sz w:val="24"/>
        </w:rPr>
        <w:t xml:space="preserve">data </w:t>
      </w:r>
      <w:r>
        <w:rPr>
          <w:spacing w:val="-5"/>
          <w:sz w:val="24"/>
        </w:rPr>
        <w:t xml:space="preserve">skillset, </w:t>
      </w:r>
      <w:r>
        <w:rPr>
          <w:spacing w:val="-3"/>
          <w:sz w:val="24"/>
        </w:rPr>
        <w:t xml:space="preserve">and who </w:t>
      </w:r>
      <w:r>
        <w:rPr>
          <w:spacing w:val="-4"/>
          <w:sz w:val="24"/>
        </w:rPr>
        <w:t xml:space="preserve">understand </w:t>
      </w:r>
      <w:r>
        <w:rPr>
          <w:spacing w:val="-3"/>
          <w:sz w:val="24"/>
        </w:rPr>
        <w:t xml:space="preserve">the </w:t>
      </w:r>
      <w:r>
        <w:rPr>
          <w:spacing w:val="-4"/>
          <w:sz w:val="24"/>
        </w:rPr>
        <w:t xml:space="preserve">structure </w:t>
      </w:r>
      <w:r>
        <w:rPr>
          <w:sz w:val="24"/>
        </w:rPr>
        <w:t xml:space="preserve">of </w:t>
      </w:r>
      <w:r>
        <w:rPr>
          <w:spacing w:val="-5"/>
          <w:sz w:val="24"/>
        </w:rPr>
        <w:t>LEA-wide</w:t>
      </w:r>
      <w:r>
        <w:rPr>
          <w:spacing w:val="-37"/>
          <w:sz w:val="24"/>
        </w:rPr>
        <w:t xml:space="preserve"> </w:t>
      </w:r>
      <w:r>
        <w:rPr>
          <w:spacing w:val="-4"/>
          <w:sz w:val="24"/>
        </w:rPr>
        <w:t>data.</w:t>
      </w:r>
    </w:p>
    <w:p w:rsidR="00BC3A73" w:rsidRDefault="00BC3A73">
      <w:pPr>
        <w:pStyle w:val="BodyText"/>
        <w:rPr>
          <w:sz w:val="21"/>
        </w:rPr>
      </w:pPr>
    </w:p>
    <w:p w:rsidR="00BC3A73" w:rsidRDefault="007A705F">
      <w:pPr>
        <w:pStyle w:val="BodyText"/>
        <w:spacing w:line="276" w:lineRule="auto"/>
        <w:ind w:left="119" w:right="250"/>
      </w:pPr>
      <w:r>
        <w:t>First, LEAs should convene as a group to brainstorm ways to sort or</w:t>
      </w:r>
      <w:r>
        <w:t xml:space="preserve"> disaggregate the data gathered in Step 1. This may include analyses </w:t>
      </w:r>
      <w:r>
        <w:rPr>
          <w:i/>
        </w:rPr>
        <w:t xml:space="preserve">within </w:t>
      </w:r>
      <w:r>
        <w:t xml:space="preserve">the teacher equity data, as well as analyses that </w:t>
      </w:r>
      <w:r>
        <w:rPr>
          <w:i/>
        </w:rPr>
        <w:t xml:space="preserve">combine </w:t>
      </w:r>
      <w:r>
        <w:t>teacher equity data with other data sets. It is recommended that LEAs first examine and summarize the teacher equity data,</w:t>
      </w:r>
      <w:r>
        <w:t xml:space="preserve"> before considering additional data sets. LEAs may use the worksheet below to brainstorm options for sorting and analyzing teacher equity</w:t>
      </w:r>
      <w:r>
        <w:rPr>
          <w:spacing w:val="-22"/>
        </w:rPr>
        <w:t xml:space="preserve"> </w:t>
      </w:r>
      <w:r>
        <w:t>data.</w:t>
      </w:r>
    </w:p>
    <w:p w:rsidR="00BC3A73" w:rsidRDefault="00BC3A73">
      <w:pPr>
        <w:pStyle w:val="BodyText"/>
        <w:spacing w:before="1"/>
        <w:rPr>
          <w:sz w:val="21"/>
        </w:rPr>
      </w:pPr>
    </w:p>
    <w:p w:rsidR="00BC3A73" w:rsidRDefault="007A705F">
      <w:pPr>
        <w:pStyle w:val="Heading2"/>
        <w:ind w:left="119"/>
      </w:pPr>
      <w:r>
        <w:t>Step 3 Worksheet: Approaches for Sorting and Summarizing Equity Data</w:t>
      </w:r>
    </w:p>
    <w:p w:rsidR="00BC3A73" w:rsidRDefault="007A705F">
      <w:pPr>
        <w:pStyle w:val="BodyText"/>
        <w:spacing w:before="6"/>
        <w:rPr>
          <w:b/>
          <w:sz w:val="10"/>
        </w:rPr>
      </w:pPr>
      <w:r>
        <w:rPr>
          <w:noProof/>
        </w:rPr>
        <mc:AlternateContent>
          <mc:Choice Requires="wps">
            <w:drawing>
              <wp:anchor distT="0" distB="0" distL="0" distR="0" simplePos="0" relativeHeight="251658752" behindDoc="0" locked="0" layoutInCell="1" allowOverlap="1">
                <wp:simplePos x="0" y="0"/>
                <wp:positionH relativeFrom="page">
                  <wp:posOffset>984250</wp:posOffset>
                </wp:positionH>
                <wp:positionV relativeFrom="paragraph">
                  <wp:posOffset>108585</wp:posOffset>
                </wp:positionV>
                <wp:extent cx="5943600" cy="2536190"/>
                <wp:effectExtent l="12700" t="13970" r="6350" b="12065"/>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361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3A73" w:rsidRDefault="007A705F">
                            <w:pPr>
                              <w:pStyle w:val="BodyText"/>
                              <w:spacing w:before="98"/>
                              <w:ind w:left="89"/>
                            </w:pPr>
                            <w:r>
                              <w:t>Examples:</w:t>
                            </w:r>
                          </w:p>
                          <w:p w:rsidR="00BC3A73" w:rsidRDefault="007A705F">
                            <w:pPr>
                              <w:pStyle w:val="ListParagraph"/>
                              <w:numPr>
                                <w:ilvl w:val="0"/>
                                <w:numId w:val="4"/>
                              </w:numPr>
                              <w:tabs>
                                <w:tab w:val="left" w:pos="449"/>
                                <w:tab w:val="left" w:pos="450"/>
                              </w:tabs>
                              <w:spacing w:before="160" w:line="276" w:lineRule="auto"/>
                              <w:ind w:right="532"/>
                              <w:rPr>
                                <w:sz w:val="24"/>
                              </w:rPr>
                            </w:pPr>
                            <w:r>
                              <w:rPr>
                                <w:color w:val="818181"/>
                                <w:sz w:val="24"/>
                              </w:rPr>
                              <w:t>Arrange school-level rates (of ineffective, out-of-field, and/or novice teachers) in order from highest to lowest by</w:t>
                            </w:r>
                            <w:r>
                              <w:rPr>
                                <w:color w:val="818181"/>
                                <w:spacing w:val="-9"/>
                                <w:sz w:val="24"/>
                              </w:rPr>
                              <w:t xml:space="preserve"> </w:t>
                            </w:r>
                            <w:r>
                              <w:rPr>
                                <w:color w:val="818181"/>
                                <w:sz w:val="24"/>
                              </w:rPr>
                              <w:t>campus.</w:t>
                            </w:r>
                          </w:p>
                          <w:p w:rsidR="00BC3A73" w:rsidRDefault="007A705F">
                            <w:pPr>
                              <w:pStyle w:val="ListParagraph"/>
                              <w:numPr>
                                <w:ilvl w:val="0"/>
                                <w:numId w:val="4"/>
                              </w:numPr>
                              <w:tabs>
                                <w:tab w:val="left" w:pos="449"/>
                                <w:tab w:val="left" w:pos="450"/>
                              </w:tabs>
                              <w:spacing w:before="121" w:line="276" w:lineRule="auto"/>
                              <w:ind w:right="485"/>
                              <w:rPr>
                                <w:sz w:val="24"/>
                              </w:rPr>
                            </w:pPr>
                            <w:r>
                              <w:rPr>
                                <w:color w:val="818181"/>
                                <w:sz w:val="24"/>
                              </w:rPr>
                              <w:t>Note LEA “outliers,” or campuses with large teacher equity gaps, as compared with the rest of the</w:t>
                            </w:r>
                            <w:r>
                              <w:rPr>
                                <w:color w:val="818181"/>
                                <w:spacing w:val="-7"/>
                                <w:sz w:val="24"/>
                              </w:rPr>
                              <w:t xml:space="preserve"> </w:t>
                            </w:r>
                            <w:r>
                              <w:rPr>
                                <w:color w:val="818181"/>
                                <w:sz w:val="24"/>
                              </w:rPr>
                              <w:t>LEA.</w:t>
                            </w:r>
                          </w:p>
                          <w:p w:rsidR="00BC3A73" w:rsidRDefault="007A705F">
                            <w:pPr>
                              <w:pStyle w:val="ListParagraph"/>
                              <w:numPr>
                                <w:ilvl w:val="0"/>
                                <w:numId w:val="4"/>
                              </w:numPr>
                              <w:tabs>
                                <w:tab w:val="left" w:pos="449"/>
                                <w:tab w:val="left" w:pos="450"/>
                              </w:tabs>
                              <w:spacing w:before="122"/>
                              <w:rPr>
                                <w:sz w:val="24"/>
                              </w:rPr>
                            </w:pPr>
                            <w:r>
                              <w:rPr>
                                <w:color w:val="818181"/>
                                <w:sz w:val="24"/>
                              </w:rPr>
                              <w:t>Compare the set of schools w</w:t>
                            </w:r>
                            <w:r>
                              <w:rPr>
                                <w:color w:val="818181"/>
                                <w:sz w:val="24"/>
                              </w:rPr>
                              <w:t>ith teacher equity gaps to those without</w:t>
                            </w:r>
                            <w:r>
                              <w:rPr>
                                <w:color w:val="818181"/>
                                <w:spacing w:val="-19"/>
                                <w:sz w:val="24"/>
                              </w:rPr>
                              <w:t xml:space="preserve"> </w:t>
                            </w:r>
                            <w:r>
                              <w:rPr>
                                <w:color w:val="818181"/>
                                <w:sz w:val="24"/>
                              </w:rPr>
                              <w:t>them.</w:t>
                            </w:r>
                          </w:p>
                          <w:p w:rsidR="00BC3A73" w:rsidRDefault="007A705F">
                            <w:pPr>
                              <w:pStyle w:val="ListParagraph"/>
                              <w:numPr>
                                <w:ilvl w:val="0"/>
                                <w:numId w:val="4"/>
                              </w:numPr>
                              <w:tabs>
                                <w:tab w:val="left" w:pos="449"/>
                                <w:tab w:val="left" w:pos="450"/>
                              </w:tabs>
                              <w:spacing w:before="160" w:line="276" w:lineRule="auto"/>
                              <w:ind w:right="283"/>
                              <w:rPr>
                                <w:sz w:val="24"/>
                              </w:rPr>
                            </w:pPr>
                            <w:r>
                              <w:rPr>
                                <w:color w:val="818181"/>
                                <w:sz w:val="24"/>
                              </w:rPr>
                              <w:t>Identify schools that serve large percentages of specific subgroups of students (e.g. minority students, low-income students, students with disabilities, English language learners). Compare teacher equity data for these schools to teacher equity data for t</w:t>
                            </w:r>
                            <w:r>
                              <w:rPr>
                                <w:color w:val="818181"/>
                                <w:sz w:val="24"/>
                              </w:rPr>
                              <w:t>he rest of the</w:t>
                            </w:r>
                            <w:r>
                              <w:rPr>
                                <w:color w:val="818181"/>
                                <w:spacing w:val="-4"/>
                                <w:sz w:val="24"/>
                              </w:rPr>
                              <w:t xml:space="preserve"> </w:t>
                            </w:r>
                            <w:r>
                              <w:rPr>
                                <w:color w:val="818181"/>
                                <w:sz w:val="24"/>
                              </w:rPr>
                              <w:t>LEA.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5pt;margin-top:8.55pt;width:468pt;height:199.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bthwIAACIFAAAOAAAAZHJzL2Uyb0RvYy54bWysVG1v2yAQ/j5p/wHxPbWduG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" filled="f" strokeweight=".96pt">
                <v:textbox inset="0,0,0,0">
                  <w:txbxContent>
                    <w:p w:rsidR="00BC3A73" w:rsidRDefault="007A705F">
                      <w:pPr>
                        <w:pStyle w:val="BodyText"/>
                        <w:spacing w:before="98"/>
                        <w:ind w:left="89"/>
                      </w:pPr>
                      <w:r>
                        <w:t>Examples:</w:t>
                      </w:r>
                    </w:p>
                    <w:p w:rsidR="00BC3A73" w:rsidRDefault="007A705F">
                      <w:pPr>
                        <w:pStyle w:val="ListParagraph"/>
                        <w:numPr>
                          <w:ilvl w:val="0"/>
                          <w:numId w:val="4"/>
                        </w:numPr>
                        <w:tabs>
                          <w:tab w:val="left" w:pos="449"/>
                          <w:tab w:val="left" w:pos="450"/>
                        </w:tabs>
                        <w:spacing w:before="160" w:line="276" w:lineRule="auto"/>
                        <w:ind w:right="532"/>
                        <w:rPr>
                          <w:sz w:val="24"/>
                        </w:rPr>
                      </w:pPr>
                      <w:r>
                        <w:rPr>
                          <w:color w:val="818181"/>
                          <w:sz w:val="24"/>
                        </w:rPr>
                        <w:t>Arrange school-level rates (of ineffective, out-of-field, and/or novice teachers) in order from highest to lowest by</w:t>
                      </w:r>
                      <w:r>
                        <w:rPr>
                          <w:color w:val="818181"/>
                          <w:spacing w:val="-9"/>
                          <w:sz w:val="24"/>
                        </w:rPr>
                        <w:t xml:space="preserve"> </w:t>
                      </w:r>
                      <w:r>
                        <w:rPr>
                          <w:color w:val="818181"/>
                          <w:sz w:val="24"/>
                        </w:rPr>
                        <w:t>campus.</w:t>
                      </w:r>
                    </w:p>
                    <w:p w:rsidR="00BC3A73" w:rsidRDefault="007A705F">
                      <w:pPr>
                        <w:pStyle w:val="ListParagraph"/>
                        <w:numPr>
                          <w:ilvl w:val="0"/>
                          <w:numId w:val="4"/>
                        </w:numPr>
                        <w:tabs>
                          <w:tab w:val="left" w:pos="449"/>
                          <w:tab w:val="left" w:pos="450"/>
                        </w:tabs>
                        <w:spacing w:before="121" w:line="276" w:lineRule="auto"/>
                        <w:ind w:right="485"/>
                        <w:rPr>
                          <w:sz w:val="24"/>
                        </w:rPr>
                      </w:pPr>
                      <w:r>
                        <w:rPr>
                          <w:color w:val="818181"/>
                          <w:sz w:val="24"/>
                        </w:rPr>
                        <w:t>Note LEA “outliers,” or campuses with large teacher equity gaps, as compared with the rest of the</w:t>
                      </w:r>
                      <w:r>
                        <w:rPr>
                          <w:color w:val="818181"/>
                          <w:spacing w:val="-7"/>
                          <w:sz w:val="24"/>
                        </w:rPr>
                        <w:t xml:space="preserve"> </w:t>
                      </w:r>
                      <w:r>
                        <w:rPr>
                          <w:color w:val="818181"/>
                          <w:sz w:val="24"/>
                        </w:rPr>
                        <w:t>LEA.</w:t>
                      </w:r>
                    </w:p>
                    <w:p w:rsidR="00BC3A73" w:rsidRDefault="007A705F">
                      <w:pPr>
                        <w:pStyle w:val="ListParagraph"/>
                        <w:numPr>
                          <w:ilvl w:val="0"/>
                          <w:numId w:val="4"/>
                        </w:numPr>
                        <w:tabs>
                          <w:tab w:val="left" w:pos="449"/>
                          <w:tab w:val="left" w:pos="450"/>
                        </w:tabs>
                        <w:spacing w:before="122"/>
                        <w:rPr>
                          <w:sz w:val="24"/>
                        </w:rPr>
                      </w:pPr>
                      <w:r>
                        <w:rPr>
                          <w:color w:val="818181"/>
                          <w:sz w:val="24"/>
                        </w:rPr>
                        <w:t>Compare the set of schools w</w:t>
                      </w:r>
                      <w:r>
                        <w:rPr>
                          <w:color w:val="818181"/>
                          <w:sz w:val="24"/>
                        </w:rPr>
                        <w:t>ith teacher equity gaps to those without</w:t>
                      </w:r>
                      <w:r>
                        <w:rPr>
                          <w:color w:val="818181"/>
                          <w:spacing w:val="-19"/>
                          <w:sz w:val="24"/>
                        </w:rPr>
                        <w:t xml:space="preserve"> </w:t>
                      </w:r>
                      <w:r>
                        <w:rPr>
                          <w:color w:val="818181"/>
                          <w:sz w:val="24"/>
                        </w:rPr>
                        <w:t>them.</w:t>
                      </w:r>
                    </w:p>
                    <w:p w:rsidR="00BC3A73" w:rsidRDefault="007A705F">
                      <w:pPr>
                        <w:pStyle w:val="ListParagraph"/>
                        <w:numPr>
                          <w:ilvl w:val="0"/>
                          <w:numId w:val="4"/>
                        </w:numPr>
                        <w:tabs>
                          <w:tab w:val="left" w:pos="449"/>
                          <w:tab w:val="left" w:pos="450"/>
                        </w:tabs>
                        <w:spacing w:before="160" w:line="276" w:lineRule="auto"/>
                        <w:ind w:right="283"/>
                        <w:rPr>
                          <w:sz w:val="24"/>
                        </w:rPr>
                      </w:pPr>
                      <w:r>
                        <w:rPr>
                          <w:color w:val="818181"/>
                          <w:sz w:val="24"/>
                        </w:rPr>
                        <w:t>Identify schools that serve large percentages of specific subgroups of students (e.g. minority students, low-income students, students with disabilities, English language learners). Compare teacher equity data for these schools to teacher equity data for t</w:t>
                      </w:r>
                      <w:r>
                        <w:rPr>
                          <w:color w:val="818181"/>
                          <w:sz w:val="24"/>
                        </w:rPr>
                        <w:t>he rest of the</w:t>
                      </w:r>
                      <w:r>
                        <w:rPr>
                          <w:color w:val="818181"/>
                          <w:spacing w:val="-4"/>
                          <w:sz w:val="24"/>
                        </w:rPr>
                        <w:t xml:space="preserve"> </w:t>
                      </w:r>
                      <w:r>
                        <w:rPr>
                          <w:color w:val="818181"/>
                          <w:sz w:val="24"/>
                        </w:rPr>
                        <w:t>LEA.</w:t>
                      </w:r>
                    </w:p>
                  </w:txbxContent>
                </v:textbox>
                <w10:wrap type="topAndBottom" anchorx="page"/>
              </v:shape>
            </w:pict>
          </mc:Fallback>
        </mc:AlternateContent>
      </w:r>
    </w:p>
    <w:p w:rsidR="00BC3A73" w:rsidRDefault="00BC3A73">
      <w:pPr>
        <w:rPr>
          <w:sz w:val="10"/>
        </w:rPr>
        <w:sectPr w:rsidR="00BC3A73">
          <w:pgSz w:w="12240" w:h="15840"/>
          <w:pgMar w:top="1760" w:right="1220" w:bottom="1520" w:left="1320" w:header="720" w:footer="1324" w:gutter="0"/>
          <w:cols w:space="720"/>
        </w:sectPr>
      </w:pPr>
    </w:p>
    <w:p w:rsidR="00BC3A73" w:rsidRDefault="00BC3A73">
      <w:pPr>
        <w:pStyle w:val="BodyText"/>
        <w:rPr>
          <w:b/>
          <w:sz w:val="20"/>
        </w:rPr>
      </w:pPr>
    </w:p>
    <w:p w:rsidR="00BC3A73" w:rsidRDefault="00BC3A73">
      <w:pPr>
        <w:pStyle w:val="BodyText"/>
        <w:rPr>
          <w:b/>
          <w:sz w:val="20"/>
        </w:rPr>
      </w:pPr>
    </w:p>
    <w:p w:rsidR="00BC3A73" w:rsidRDefault="00BC3A73">
      <w:pPr>
        <w:pStyle w:val="BodyText"/>
        <w:rPr>
          <w:b/>
          <w:sz w:val="20"/>
        </w:rPr>
      </w:pPr>
    </w:p>
    <w:p w:rsidR="00BC3A73" w:rsidRDefault="00BC3A73">
      <w:pPr>
        <w:pStyle w:val="BodyText"/>
        <w:spacing w:before="7"/>
        <w:rPr>
          <w:b/>
          <w:sz w:val="20"/>
        </w:rPr>
      </w:pPr>
    </w:p>
    <w:p w:rsidR="00BC3A73" w:rsidRDefault="007A705F">
      <w:pPr>
        <w:pStyle w:val="BodyText"/>
        <w:spacing w:before="90" w:line="276" w:lineRule="auto"/>
        <w:ind w:left="120" w:right="476"/>
      </w:pPr>
      <w:r>
        <w:t>Second, LEAs with robust data analysis capacity may also wish to consider using unique identifiers to merge separate datasets into one large data set for analysis. This allows LEAs to conduct additional cross-data set a</w:t>
      </w:r>
      <w:r>
        <w:t>nalyses.</w:t>
      </w:r>
    </w:p>
    <w:p w:rsidR="00BC3A73" w:rsidRDefault="00BC3A73">
      <w:pPr>
        <w:pStyle w:val="BodyText"/>
        <w:spacing w:before="1"/>
        <w:rPr>
          <w:sz w:val="21"/>
        </w:rPr>
      </w:pPr>
    </w:p>
    <w:p w:rsidR="00BC3A73" w:rsidRDefault="007A705F">
      <w:pPr>
        <w:pStyle w:val="Heading2"/>
        <w:spacing w:before="1"/>
      </w:pPr>
      <w:r>
        <w:t>Step 3 Worksheet: Working with Additional Data Sets</w:t>
      </w:r>
    </w:p>
    <w:p w:rsidR="00BC3A73" w:rsidRDefault="00BC3A73">
      <w:pPr>
        <w:pStyle w:val="BodyText"/>
        <w:spacing w:after="1"/>
        <w:rPr>
          <w:b/>
          <w:sz w:val="14"/>
        </w:rPr>
      </w:pPr>
    </w:p>
    <w:tbl>
      <w:tblPr>
        <w:tblW w:w="0" w:type="auto"/>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left w:w="0" w:type="dxa"/>
          <w:right w:w="0" w:type="dxa"/>
        </w:tblCellMar>
        <w:tblLook w:val="01E0" w:firstRow="1" w:lastRow="1" w:firstColumn="1" w:lastColumn="1" w:noHBand="0" w:noVBand="0"/>
      </w:tblPr>
      <w:tblGrid>
        <w:gridCol w:w="3679"/>
        <w:gridCol w:w="5335"/>
      </w:tblGrid>
      <w:tr w:rsidR="00BC3A73">
        <w:trPr>
          <w:trHeight w:hRule="exact" w:val="418"/>
        </w:trPr>
        <w:tc>
          <w:tcPr>
            <w:tcW w:w="3679" w:type="dxa"/>
            <w:tcBorders>
              <w:top w:val="nil"/>
              <w:left w:val="nil"/>
              <w:right w:val="nil"/>
            </w:tcBorders>
            <w:shd w:val="clear" w:color="auto" w:fill="4472C4"/>
          </w:tcPr>
          <w:p w:rsidR="00BC3A73" w:rsidRDefault="007A705F">
            <w:pPr>
              <w:pStyle w:val="TableParagraph"/>
              <w:ind w:left="71"/>
              <w:rPr>
                <w:b/>
              </w:rPr>
            </w:pPr>
            <w:r>
              <w:rPr>
                <w:b/>
                <w:color w:val="FFFFFF"/>
              </w:rPr>
              <w:t>Data Sources Gathered in Step One</w:t>
            </w:r>
          </w:p>
        </w:tc>
        <w:tc>
          <w:tcPr>
            <w:tcW w:w="5335" w:type="dxa"/>
            <w:tcBorders>
              <w:top w:val="nil"/>
              <w:left w:val="nil"/>
              <w:right w:val="nil"/>
            </w:tcBorders>
            <w:shd w:val="clear" w:color="auto" w:fill="4472C4"/>
          </w:tcPr>
          <w:p w:rsidR="00BC3A73" w:rsidRDefault="007A705F">
            <w:pPr>
              <w:pStyle w:val="TableParagraph"/>
              <w:spacing w:before="53"/>
              <w:ind w:left="72"/>
              <w:rPr>
                <w:b/>
                <w:sz w:val="14"/>
              </w:rPr>
            </w:pPr>
            <w:r>
              <w:rPr>
                <w:b/>
                <w:color w:val="FFFFFF"/>
              </w:rPr>
              <w:t>Approaches for Sorting or Disaggregating Data</w:t>
            </w:r>
            <w:hyperlink w:anchor="_bookmark5" w:history="1">
              <w:r>
                <w:rPr>
                  <w:b/>
                  <w:color w:val="FFFFFF"/>
                  <w:position w:val="8"/>
                  <w:sz w:val="14"/>
                </w:rPr>
                <w:t>6</w:t>
              </w:r>
            </w:hyperlink>
          </w:p>
        </w:tc>
      </w:tr>
      <w:tr w:rsidR="00BC3A73">
        <w:trPr>
          <w:trHeight w:hRule="exact" w:val="4106"/>
        </w:trPr>
        <w:tc>
          <w:tcPr>
            <w:tcW w:w="3679" w:type="dxa"/>
          </w:tcPr>
          <w:p w:rsidR="00BC3A73" w:rsidRDefault="007A705F">
            <w:pPr>
              <w:pStyle w:val="TableParagraph"/>
              <w:spacing w:before="60"/>
              <w:rPr>
                <w:i/>
              </w:rPr>
            </w:pPr>
            <w:r>
              <w:rPr>
                <w:i/>
                <w:color w:val="818181"/>
              </w:rPr>
              <w:t>Examples:</w:t>
            </w:r>
          </w:p>
          <w:p w:rsidR="00BC3A73" w:rsidRDefault="007A705F">
            <w:pPr>
              <w:pStyle w:val="TableParagraph"/>
              <w:numPr>
                <w:ilvl w:val="0"/>
                <w:numId w:val="3"/>
              </w:numPr>
              <w:tabs>
                <w:tab w:val="left" w:pos="353"/>
              </w:tabs>
              <w:spacing w:before="97"/>
              <w:rPr>
                <w:i/>
              </w:rPr>
            </w:pPr>
            <w:r>
              <w:rPr>
                <w:i/>
                <w:color w:val="818181"/>
              </w:rPr>
              <w:t>Teacher equity gap</w:t>
            </w:r>
            <w:r>
              <w:rPr>
                <w:i/>
                <w:color w:val="818181"/>
                <w:spacing w:val="-11"/>
              </w:rPr>
              <w:t xml:space="preserve"> </w:t>
            </w:r>
            <w:r>
              <w:rPr>
                <w:i/>
                <w:color w:val="818181"/>
              </w:rPr>
              <w:t>data</w:t>
            </w:r>
          </w:p>
          <w:p w:rsidR="00BC3A73" w:rsidRDefault="007A705F">
            <w:pPr>
              <w:pStyle w:val="TableParagraph"/>
              <w:numPr>
                <w:ilvl w:val="0"/>
                <w:numId w:val="3"/>
              </w:numPr>
              <w:tabs>
                <w:tab w:val="left" w:pos="353"/>
              </w:tabs>
              <w:spacing w:before="97"/>
              <w:rPr>
                <w:i/>
              </w:rPr>
            </w:pPr>
            <w:r>
              <w:rPr>
                <w:i/>
                <w:color w:val="818181"/>
              </w:rPr>
              <w:t>Teacher effectiveness</w:t>
            </w:r>
            <w:r>
              <w:rPr>
                <w:i/>
                <w:color w:val="818181"/>
                <w:spacing w:val="-15"/>
              </w:rPr>
              <w:t xml:space="preserve"> </w:t>
            </w:r>
            <w:r>
              <w:rPr>
                <w:i/>
                <w:color w:val="818181"/>
              </w:rPr>
              <w:t>data</w:t>
            </w:r>
          </w:p>
          <w:p w:rsidR="00BC3A73" w:rsidRDefault="007A705F">
            <w:pPr>
              <w:pStyle w:val="TableParagraph"/>
              <w:numPr>
                <w:ilvl w:val="0"/>
                <w:numId w:val="3"/>
              </w:numPr>
              <w:tabs>
                <w:tab w:val="left" w:pos="353"/>
              </w:tabs>
              <w:spacing w:before="99"/>
              <w:rPr>
                <w:i/>
              </w:rPr>
            </w:pPr>
            <w:r>
              <w:rPr>
                <w:i/>
                <w:color w:val="818181"/>
              </w:rPr>
              <w:t>Insight Survey</w:t>
            </w:r>
            <w:r>
              <w:rPr>
                <w:i/>
                <w:color w:val="818181"/>
                <w:spacing w:val="-9"/>
              </w:rPr>
              <w:t xml:space="preserve"> </w:t>
            </w:r>
            <w:r>
              <w:rPr>
                <w:i/>
                <w:color w:val="818181"/>
              </w:rPr>
              <w:t>data</w:t>
            </w:r>
          </w:p>
          <w:p w:rsidR="00BC3A73" w:rsidRDefault="007A705F">
            <w:pPr>
              <w:pStyle w:val="TableParagraph"/>
              <w:numPr>
                <w:ilvl w:val="0"/>
                <w:numId w:val="3"/>
              </w:numPr>
              <w:tabs>
                <w:tab w:val="left" w:pos="353"/>
              </w:tabs>
              <w:spacing w:before="97"/>
              <w:rPr>
                <w:i/>
              </w:rPr>
            </w:pPr>
            <w:r>
              <w:rPr>
                <w:i/>
                <w:color w:val="818181"/>
              </w:rPr>
              <w:t>Other data</w:t>
            </w:r>
            <w:r>
              <w:rPr>
                <w:i/>
                <w:color w:val="818181"/>
                <w:spacing w:val="-12"/>
              </w:rPr>
              <w:t xml:space="preserve"> </w:t>
            </w:r>
            <w:r>
              <w:rPr>
                <w:i/>
                <w:color w:val="818181"/>
              </w:rPr>
              <w:t>sources</w:t>
            </w:r>
          </w:p>
        </w:tc>
        <w:tc>
          <w:tcPr>
            <w:tcW w:w="5335" w:type="dxa"/>
          </w:tcPr>
          <w:p w:rsidR="00BC3A73" w:rsidRDefault="007A705F">
            <w:pPr>
              <w:pStyle w:val="TableParagraph"/>
              <w:spacing w:before="60"/>
              <w:rPr>
                <w:i/>
              </w:rPr>
            </w:pPr>
            <w:r>
              <w:rPr>
                <w:i/>
                <w:color w:val="818181"/>
              </w:rPr>
              <w:t>Examples:</w:t>
            </w:r>
          </w:p>
          <w:p w:rsidR="00BC3A73" w:rsidRDefault="007A705F">
            <w:pPr>
              <w:pStyle w:val="TableParagraph"/>
              <w:numPr>
                <w:ilvl w:val="0"/>
                <w:numId w:val="2"/>
              </w:numPr>
              <w:tabs>
                <w:tab w:val="left" w:pos="353"/>
              </w:tabs>
              <w:spacing w:before="97"/>
              <w:rPr>
                <w:i/>
              </w:rPr>
            </w:pPr>
            <w:r>
              <w:rPr>
                <w:i/>
                <w:color w:val="818181"/>
              </w:rPr>
              <w:t>By</w:t>
            </w:r>
            <w:r>
              <w:rPr>
                <w:i/>
                <w:color w:val="818181"/>
                <w:spacing w:val="-5"/>
              </w:rPr>
              <w:t xml:space="preserve"> </w:t>
            </w:r>
            <w:r>
              <w:rPr>
                <w:i/>
                <w:color w:val="818181"/>
              </w:rPr>
              <w:t>campus</w:t>
            </w:r>
          </w:p>
          <w:p w:rsidR="00BC3A73" w:rsidRDefault="007A705F">
            <w:pPr>
              <w:pStyle w:val="TableParagraph"/>
              <w:numPr>
                <w:ilvl w:val="0"/>
                <w:numId w:val="2"/>
              </w:numPr>
              <w:tabs>
                <w:tab w:val="left" w:pos="353"/>
              </w:tabs>
              <w:spacing w:before="96"/>
              <w:rPr>
                <w:i/>
              </w:rPr>
            </w:pPr>
            <w:r>
              <w:rPr>
                <w:i/>
                <w:color w:val="818181"/>
              </w:rPr>
              <w:t>By grade</w:t>
            </w:r>
            <w:r>
              <w:rPr>
                <w:i/>
                <w:color w:val="818181"/>
                <w:spacing w:val="-8"/>
              </w:rPr>
              <w:t xml:space="preserve"> </w:t>
            </w:r>
            <w:r>
              <w:rPr>
                <w:i/>
                <w:color w:val="818181"/>
              </w:rPr>
              <w:t>range</w:t>
            </w:r>
          </w:p>
          <w:p w:rsidR="00BC3A73" w:rsidRDefault="007A705F">
            <w:pPr>
              <w:pStyle w:val="TableParagraph"/>
              <w:numPr>
                <w:ilvl w:val="0"/>
                <w:numId w:val="2"/>
              </w:numPr>
              <w:tabs>
                <w:tab w:val="left" w:pos="353"/>
              </w:tabs>
              <w:spacing w:before="98"/>
              <w:rPr>
                <w:i/>
              </w:rPr>
            </w:pPr>
            <w:r>
              <w:rPr>
                <w:i/>
                <w:color w:val="818181"/>
              </w:rPr>
              <w:t>By ward or geographic</w:t>
            </w:r>
            <w:r>
              <w:rPr>
                <w:i/>
                <w:color w:val="818181"/>
                <w:spacing w:val="-16"/>
              </w:rPr>
              <w:t xml:space="preserve"> </w:t>
            </w:r>
            <w:r>
              <w:rPr>
                <w:i/>
                <w:color w:val="818181"/>
              </w:rPr>
              <w:t>area</w:t>
            </w:r>
          </w:p>
          <w:p w:rsidR="00BC3A73" w:rsidRDefault="007A705F">
            <w:pPr>
              <w:pStyle w:val="TableParagraph"/>
              <w:numPr>
                <w:ilvl w:val="0"/>
                <w:numId w:val="2"/>
              </w:numPr>
              <w:tabs>
                <w:tab w:val="left" w:pos="353"/>
              </w:tabs>
              <w:spacing w:before="97"/>
              <w:rPr>
                <w:i/>
              </w:rPr>
            </w:pPr>
            <w:r>
              <w:rPr>
                <w:i/>
                <w:color w:val="818181"/>
              </w:rPr>
              <w:t>By school effectiveness</w:t>
            </w:r>
            <w:r>
              <w:rPr>
                <w:i/>
                <w:color w:val="818181"/>
                <w:spacing w:val="-18"/>
              </w:rPr>
              <w:t xml:space="preserve"> </w:t>
            </w:r>
            <w:r>
              <w:rPr>
                <w:i/>
                <w:color w:val="818181"/>
              </w:rPr>
              <w:t>designation</w:t>
            </w:r>
          </w:p>
          <w:p w:rsidR="00BC3A73" w:rsidRDefault="007A705F">
            <w:pPr>
              <w:pStyle w:val="TableParagraph"/>
              <w:numPr>
                <w:ilvl w:val="0"/>
                <w:numId w:val="2"/>
              </w:numPr>
              <w:tabs>
                <w:tab w:val="left" w:pos="353"/>
              </w:tabs>
              <w:spacing w:before="98"/>
              <w:rPr>
                <w:i/>
              </w:rPr>
            </w:pPr>
            <w:r>
              <w:rPr>
                <w:i/>
                <w:color w:val="818181"/>
              </w:rPr>
              <w:t>By feeder</w:t>
            </w:r>
            <w:r>
              <w:rPr>
                <w:i/>
                <w:color w:val="818181"/>
                <w:spacing w:val="-11"/>
              </w:rPr>
              <w:t xml:space="preserve"> </w:t>
            </w:r>
            <w:r>
              <w:rPr>
                <w:i/>
                <w:color w:val="818181"/>
              </w:rPr>
              <w:t>pattern</w:t>
            </w:r>
          </w:p>
          <w:p w:rsidR="00BC3A73" w:rsidRDefault="007A705F">
            <w:pPr>
              <w:pStyle w:val="TableParagraph"/>
              <w:numPr>
                <w:ilvl w:val="0"/>
                <w:numId w:val="2"/>
              </w:numPr>
              <w:tabs>
                <w:tab w:val="left" w:pos="353"/>
              </w:tabs>
              <w:spacing w:before="97" w:line="276" w:lineRule="auto"/>
              <w:ind w:right="272"/>
              <w:rPr>
                <w:i/>
              </w:rPr>
            </w:pPr>
            <w:r>
              <w:rPr>
                <w:i/>
                <w:color w:val="818181"/>
              </w:rPr>
              <w:t xml:space="preserve">By type of school (e.g., elementary vs middle vs high; </w:t>
            </w:r>
            <w:r>
              <w:rPr>
                <w:i/>
                <w:color w:val="818181"/>
              </w:rPr>
              <w:t>alternative school vs non alternative school; arts or science focused school vs general education</w:t>
            </w:r>
            <w:r>
              <w:rPr>
                <w:i/>
                <w:color w:val="818181"/>
                <w:spacing w:val="-26"/>
              </w:rPr>
              <w:t xml:space="preserve"> </w:t>
            </w:r>
            <w:r>
              <w:rPr>
                <w:i/>
                <w:color w:val="818181"/>
              </w:rPr>
              <w:t>model)</w:t>
            </w:r>
          </w:p>
          <w:p w:rsidR="00BC3A73" w:rsidRDefault="007A705F">
            <w:pPr>
              <w:pStyle w:val="TableParagraph"/>
              <w:numPr>
                <w:ilvl w:val="0"/>
                <w:numId w:val="2"/>
              </w:numPr>
              <w:tabs>
                <w:tab w:val="left" w:pos="353"/>
              </w:tabs>
              <w:spacing w:before="61" w:line="276" w:lineRule="auto"/>
              <w:ind w:right="328"/>
              <w:rPr>
                <w:i/>
              </w:rPr>
            </w:pPr>
            <w:r>
              <w:rPr>
                <w:i/>
                <w:color w:val="818181"/>
              </w:rPr>
              <w:t>By leadership characteristics (e.g., schools with first year principals vs</w:t>
            </w:r>
            <w:r>
              <w:rPr>
                <w:i/>
                <w:color w:val="818181"/>
                <w:spacing w:val="-16"/>
              </w:rPr>
              <w:t xml:space="preserve"> </w:t>
            </w:r>
            <w:r>
              <w:rPr>
                <w:i/>
                <w:color w:val="818181"/>
              </w:rPr>
              <w:t>others)</w:t>
            </w:r>
          </w:p>
          <w:p w:rsidR="00BC3A73" w:rsidRDefault="007A705F">
            <w:pPr>
              <w:pStyle w:val="TableParagraph"/>
              <w:numPr>
                <w:ilvl w:val="0"/>
                <w:numId w:val="2"/>
              </w:numPr>
              <w:tabs>
                <w:tab w:val="left" w:pos="353"/>
              </w:tabs>
              <w:spacing w:before="60"/>
              <w:rPr>
                <w:i/>
              </w:rPr>
            </w:pPr>
            <w:r>
              <w:rPr>
                <w:i/>
                <w:color w:val="818181"/>
              </w:rPr>
              <w:t>Other data</w:t>
            </w:r>
            <w:r>
              <w:rPr>
                <w:i/>
                <w:color w:val="818181"/>
                <w:spacing w:val="-8"/>
              </w:rPr>
              <w:t xml:space="preserve"> </w:t>
            </w:r>
            <w:r>
              <w:rPr>
                <w:i/>
                <w:color w:val="818181"/>
              </w:rPr>
              <w:t>cuts</w:t>
            </w:r>
          </w:p>
        </w:tc>
      </w:tr>
    </w:tbl>
    <w:p w:rsidR="00BC3A73" w:rsidRDefault="00BC3A73">
      <w:pPr>
        <w:pStyle w:val="BodyText"/>
        <w:spacing w:before="7"/>
        <w:rPr>
          <w:b/>
          <w:sz w:val="20"/>
        </w:rPr>
      </w:pPr>
    </w:p>
    <w:p w:rsidR="00BC3A73" w:rsidRDefault="007A705F">
      <w:pPr>
        <w:pStyle w:val="BodyText"/>
        <w:spacing w:before="1" w:line="276" w:lineRule="auto"/>
        <w:ind w:left="120" w:right="243"/>
      </w:pPr>
      <w:r>
        <w:t>Third, LEAs should review the list of disaggregation approaches and decide which ones to try, considering which will provide the most useful information, which are highest priority to complete, and which are feasible, given the structure of the data availa</w:t>
      </w:r>
      <w:r>
        <w:t>ble. The designated staff member(s) should complete the data sorting and analysis. The work may be done in a group setting, or LEAs may wish to “divide and conquer” and reconvene after initial data organization and analysis is complete.</w:t>
      </w:r>
    </w:p>
    <w:p w:rsidR="00BC3A73" w:rsidRDefault="00BC3A73">
      <w:pPr>
        <w:pStyle w:val="BodyText"/>
        <w:spacing w:before="11"/>
        <w:rPr>
          <w:sz w:val="20"/>
        </w:rPr>
      </w:pPr>
    </w:p>
    <w:p w:rsidR="00BC3A73" w:rsidRDefault="007A705F">
      <w:pPr>
        <w:pStyle w:val="BodyText"/>
        <w:spacing w:line="276" w:lineRule="auto"/>
        <w:ind w:left="120" w:right="256"/>
      </w:pPr>
      <w:r>
        <w:t>Fourth, the group should review the results, considering each approach. LEAs should make observations about patterns, trends, and data points that “jump off the page.” The exercise may reveal additional approaches to disaggregating the data, and if so, LEA</w:t>
      </w:r>
      <w:r>
        <w:t>s may wish to iterate and repeat the steps above.</w:t>
      </w:r>
    </w:p>
    <w:p w:rsidR="00BC3A73" w:rsidRDefault="007A705F">
      <w:pPr>
        <w:pStyle w:val="BodyText"/>
        <w:spacing w:before="5"/>
        <w:rPr>
          <w:sz w:val="27"/>
        </w:rPr>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229235</wp:posOffset>
                </wp:positionV>
                <wp:extent cx="1828800" cy="0"/>
                <wp:effectExtent l="9525" t="11430" r="9525" b="762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E925"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3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uoHQIAAEI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" strokeweight=".6pt">
                <w10:wrap type="topAndBottom" anchorx="page"/>
              </v:line>
            </w:pict>
          </mc:Fallback>
        </mc:AlternateContent>
      </w:r>
    </w:p>
    <w:p w:rsidR="00BC3A73" w:rsidRDefault="007A705F">
      <w:pPr>
        <w:spacing w:before="108"/>
        <w:ind w:left="119" w:right="698"/>
        <w:rPr>
          <w:sz w:val="18"/>
        </w:rPr>
      </w:pPr>
      <w:bookmarkStart w:id="11" w:name="_bookmark5"/>
      <w:bookmarkEnd w:id="11"/>
      <w:r>
        <w:rPr>
          <w:position w:val="6"/>
          <w:sz w:val="12"/>
        </w:rPr>
        <w:t xml:space="preserve">6 </w:t>
      </w:r>
      <w:r>
        <w:rPr>
          <w:sz w:val="18"/>
        </w:rPr>
        <w:t xml:space="preserve">This includes analysis of the distribution of ineffective, out-of-field, and novice teachers </w:t>
      </w:r>
      <w:r>
        <w:rPr>
          <w:i/>
          <w:sz w:val="18"/>
        </w:rPr>
        <w:t xml:space="preserve">within </w:t>
      </w:r>
      <w:r>
        <w:rPr>
          <w:sz w:val="18"/>
        </w:rPr>
        <w:t>the school-based teacher analysis provided by OSSE, as well as analysis that combines the teacher equi</w:t>
      </w:r>
      <w:r>
        <w:rPr>
          <w:sz w:val="18"/>
        </w:rPr>
        <w:t>ty data with other LEA data.</w:t>
      </w:r>
    </w:p>
    <w:p w:rsidR="00BC3A73" w:rsidRDefault="00BC3A73">
      <w:pPr>
        <w:rPr>
          <w:sz w:val="18"/>
        </w:rPr>
        <w:sectPr w:rsidR="00BC3A73">
          <w:pgSz w:w="12240" w:h="15840"/>
          <w:pgMar w:top="1760" w:right="1320" w:bottom="1520" w:left="1320" w:header="720" w:footer="1324" w:gutter="0"/>
          <w:cols w:space="720"/>
        </w:sectPr>
      </w:pPr>
    </w:p>
    <w:p w:rsidR="00BC3A73" w:rsidRDefault="00BC3A73">
      <w:pPr>
        <w:pStyle w:val="BodyText"/>
        <w:rPr>
          <w:sz w:val="20"/>
        </w:rPr>
      </w:pPr>
    </w:p>
    <w:p w:rsidR="00BC3A73" w:rsidRDefault="007A705F">
      <w:pPr>
        <w:pStyle w:val="BodyText"/>
        <w:spacing w:before="229"/>
        <w:ind w:left="120"/>
      </w:pPr>
      <w:r>
        <w:t>Last, LEAs should summarize observations. An example format is shown below.</w:t>
      </w:r>
    </w:p>
    <w:p w:rsidR="00BC3A73" w:rsidRDefault="00BC3A73">
      <w:pPr>
        <w:pStyle w:val="BodyText"/>
        <w:spacing w:before="8"/>
      </w:pPr>
    </w:p>
    <w:p w:rsidR="00BC3A73" w:rsidRDefault="007A705F">
      <w:pPr>
        <w:pStyle w:val="Heading2"/>
      </w:pPr>
      <w:r>
        <w:t>Step 3 Worksheet</w:t>
      </w:r>
    </w:p>
    <w:p w:rsidR="00BC3A73" w:rsidRDefault="00BC3A73">
      <w:pPr>
        <w:pStyle w:val="BodyText"/>
        <w:spacing w:before="10"/>
        <w:rPr>
          <w:b/>
          <w:sz w:val="13"/>
        </w:rPr>
      </w:pPr>
    </w:p>
    <w:tbl>
      <w:tblPr>
        <w:tblW w:w="0" w:type="auto"/>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left w:w="0" w:type="dxa"/>
          <w:right w:w="0" w:type="dxa"/>
        </w:tblCellMar>
        <w:tblLook w:val="01E0" w:firstRow="1" w:lastRow="1" w:firstColumn="1" w:lastColumn="1" w:noHBand="0" w:noVBand="0"/>
      </w:tblPr>
      <w:tblGrid>
        <w:gridCol w:w="1463"/>
        <w:gridCol w:w="7880"/>
      </w:tblGrid>
      <w:tr w:rsidR="00BC3A73">
        <w:trPr>
          <w:trHeight w:hRule="exact" w:val="419"/>
        </w:trPr>
        <w:tc>
          <w:tcPr>
            <w:tcW w:w="9343" w:type="dxa"/>
            <w:gridSpan w:val="2"/>
            <w:tcBorders>
              <w:top w:val="nil"/>
              <w:left w:val="nil"/>
              <w:right w:val="nil"/>
            </w:tcBorders>
            <w:shd w:val="clear" w:color="auto" w:fill="4472C4"/>
          </w:tcPr>
          <w:p w:rsidR="00BC3A73" w:rsidRDefault="007A705F">
            <w:pPr>
              <w:pStyle w:val="TableParagraph"/>
              <w:ind w:left="1534"/>
              <w:rPr>
                <w:b/>
              </w:rPr>
            </w:pPr>
            <w:r>
              <w:rPr>
                <w:b/>
                <w:color w:val="FFFFFF"/>
              </w:rPr>
              <w:t>Data Points That “Jump off the Page,” Patterns, or Trends</w:t>
            </w:r>
          </w:p>
        </w:tc>
      </w:tr>
      <w:tr w:rsidR="00BC3A73">
        <w:trPr>
          <w:trHeight w:hRule="exact" w:val="716"/>
        </w:trPr>
        <w:tc>
          <w:tcPr>
            <w:tcW w:w="1463" w:type="dxa"/>
          </w:tcPr>
          <w:p w:rsidR="00BC3A73" w:rsidRDefault="007A705F">
            <w:pPr>
              <w:pStyle w:val="TableParagraph"/>
              <w:spacing w:before="57" w:line="276" w:lineRule="auto"/>
              <w:ind w:right="51"/>
            </w:pPr>
            <w:r>
              <w:t>Teacher equity gap data</w:t>
            </w:r>
          </w:p>
        </w:tc>
        <w:tc>
          <w:tcPr>
            <w:tcW w:w="7880" w:type="dxa"/>
          </w:tcPr>
          <w:p w:rsidR="00BC3A73" w:rsidRDefault="00BC3A73"/>
        </w:tc>
      </w:tr>
      <w:tr w:rsidR="00BC3A73">
        <w:trPr>
          <w:trHeight w:hRule="exact" w:val="2172"/>
        </w:trPr>
        <w:tc>
          <w:tcPr>
            <w:tcW w:w="1463" w:type="dxa"/>
          </w:tcPr>
          <w:p w:rsidR="00BC3A73" w:rsidRDefault="007A705F">
            <w:pPr>
              <w:pStyle w:val="TableParagraph"/>
              <w:spacing w:line="276" w:lineRule="auto"/>
              <w:ind w:right="95"/>
            </w:pPr>
            <w:r>
              <w:t>Other data (e.g., Teacher Effectiveness, Insight Survey, TNTP Collaborative Report)</w:t>
            </w:r>
          </w:p>
        </w:tc>
        <w:tc>
          <w:tcPr>
            <w:tcW w:w="7880" w:type="dxa"/>
          </w:tcPr>
          <w:p w:rsidR="00BC3A73" w:rsidRDefault="00BC3A73"/>
        </w:tc>
      </w:tr>
      <w:tr w:rsidR="00BC3A73">
        <w:trPr>
          <w:trHeight w:hRule="exact" w:val="716"/>
        </w:trPr>
        <w:tc>
          <w:tcPr>
            <w:tcW w:w="1463" w:type="dxa"/>
          </w:tcPr>
          <w:p w:rsidR="00BC3A73" w:rsidRDefault="007A705F">
            <w:pPr>
              <w:pStyle w:val="TableParagraph"/>
              <w:spacing w:before="57" w:line="276" w:lineRule="auto"/>
              <w:ind w:right="124"/>
            </w:pPr>
            <w:r>
              <w:t>Cross data-set analyses</w:t>
            </w:r>
          </w:p>
        </w:tc>
        <w:tc>
          <w:tcPr>
            <w:tcW w:w="7880" w:type="dxa"/>
          </w:tcPr>
          <w:p w:rsidR="00BC3A73" w:rsidRDefault="00BC3A73"/>
        </w:tc>
      </w:tr>
      <w:tr w:rsidR="00BC3A73">
        <w:trPr>
          <w:trHeight w:hRule="exact" w:val="426"/>
        </w:trPr>
        <w:tc>
          <w:tcPr>
            <w:tcW w:w="1463" w:type="dxa"/>
          </w:tcPr>
          <w:p w:rsidR="00BC3A73" w:rsidRDefault="00BC3A73"/>
        </w:tc>
        <w:tc>
          <w:tcPr>
            <w:tcW w:w="7880" w:type="dxa"/>
          </w:tcPr>
          <w:p w:rsidR="00BC3A73" w:rsidRDefault="00BC3A73"/>
        </w:tc>
      </w:tr>
    </w:tbl>
    <w:p w:rsidR="00BC3A73" w:rsidRDefault="00BC3A73">
      <w:pPr>
        <w:sectPr w:rsidR="00BC3A73">
          <w:pgSz w:w="12240" w:h="15840"/>
          <w:pgMar w:top="1760" w:right="1320" w:bottom="1520" w:left="1320" w:header="720" w:footer="1324" w:gutter="0"/>
          <w:cols w:space="720"/>
        </w:sectPr>
      </w:pPr>
    </w:p>
    <w:p w:rsidR="00BC3A73" w:rsidRDefault="00BC3A73">
      <w:pPr>
        <w:pStyle w:val="BodyText"/>
        <w:rPr>
          <w:b/>
          <w:sz w:val="20"/>
        </w:rPr>
      </w:pPr>
    </w:p>
    <w:p w:rsidR="00BC3A73" w:rsidRDefault="007A705F">
      <w:pPr>
        <w:spacing w:before="229"/>
        <w:ind w:left="120"/>
        <w:rPr>
          <w:b/>
          <w:sz w:val="36"/>
        </w:rPr>
      </w:pPr>
      <w:bookmarkStart w:id="12" w:name="Step_4:_Interpreting_the_Data"/>
      <w:bookmarkEnd w:id="12"/>
      <w:r>
        <w:rPr>
          <w:b/>
          <w:color w:val="1E4E79"/>
          <w:sz w:val="36"/>
        </w:rPr>
        <w:t>Step 4: Interpreting the Data</w:t>
      </w:r>
    </w:p>
    <w:p w:rsidR="00BC3A73" w:rsidRDefault="007A705F">
      <w:pPr>
        <w:pStyle w:val="BodyText"/>
        <w:spacing w:before="181" w:line="276" w:lineRule="auto"/>
        <w:ind w:left="120" w:right="549"/>
      </w:pPr>
      <w:r>
        <w:t>The purpose of Step 4 is for LEAs to look deeper at the patterns in the data related to teacher effectiveness and teacher equity gaps. In the Step 4 Worksheet, LEAs should discuss the following focus questions, while a notetaker records key discussion poin</w:t>
      </w:r>
      <w:r>
        <w:t>ts.</w:t>
      </w:r>
    </w:p>
    <w:p w:rsidR="00BC3A73" w:rsidRDefault="007A705F">
      <w:pPr>
        <w:pStyle w:val="ListParagraph"/>
        <w:numPr>
          <w:ilvl w:val="0"/>
          <w:numId w:val="1"/>
        </w:numPr>
        <w:tabs>
          <w:tab w:val="left" w:pos="480"/>
        </w:tabs>
        <w:spacing w:before="121"/>
        <w:rPr>
          <w:sz w:val="24"/>
        </w:rPr>
      </w:pPr>
      <w:r>
        <w:rPr>
          <w:sz w:val="24"/>
        </w:rPr>
        <w:t>What does this data exercise reveal about our teacher equity</w:t>
      </w:r>
      <w:r>
        <w:rPr>
          <w:spacing w:val="-16"/>
          <w:sz w:val="24"/>
        </w:rPr>
        <w:t xml:space="preserve"> </w:t>
      </w:r>
      <w:r>
        <w:rPr>
          <w:sz w:val="24"/>
        </w:rPr>
        <w:t>gaps?</w:t>
      </w:r>
    </w:p>
    <w:p w:rsidR="00BC3A73" w:rsidRDefault="007A705F">
      <w:pPr>
        <w:pStyle w:val="ListParagraph"/>
        <w:numPr>
          <w:ilvl w:val="1"/>
          <w:numId w:val="1"/>
        </w:numPr>
        <w:tabs>
          <w:tab w:val="left" w:pos="840"/>
        </w:tabs>
        <w:spacing w:before="162"/>
        <w:rPr>
          <w:sz w:val="24"/>
        </w:rPr>
      </w:pPr>
      <w:r>
        <w:rPr>
          <w:sz w:val="24"/>
        </w:rPr>
        <w:t>Across different</w:t>
      </w:r>
      <w:r>
        <w:rPr>
          <w:spacing w:val="-8"/>
          <w:sz w:val="24"/>
        </w:rPr>
        <w:t xml:space="preserve"> </w:t>
      </w:r>
      <w:r>
        <w:rPr>
          <w:sz w:val="24"/>
        </w:rPr>
        <w:t>campuses?</w:t>
      </w:r>
    </w:p>
    <w:p w:rsidR="00BC3A73" w:rsidRDefault="007A705F">
      <w:pPr>
        <w:pStyle w:val="ListParagraph"/>
        <w:numPr>
          <w:ilvl w:val="1"/>
          <w:numId w:val="1"/>
        </w:numPr>
        <w:tabs>
          <w:tab w:val="left" w:pos="840"/>
        </w:tabs>
        <w:spacing w:before="161"/>
        <w:rPr>
          <w:sz w:val="24"/>
        </w:rPr>
      </w:pPr>
      <w:r>
        <w:rPr>
          <w:sz w:val="24"/>
        </w:rPr>
        <w:t>Across elementary, middle, and high</w:t>
      </w:r>
      <w:r>
        <w:rPr>
          <w:spacing w:val="-9"/>
          <w:sz w:val="24"/>
        </w:rPr>
        <w:t xml:space="preserve"> </w:t>
      </w:r>
      <w:r>
        <w:rPr>
          <w:sz w:val="24"/>
        </w:rPr>
        <w:t>schools?</w:t>
      </w:r>
    </w:p>
    <w:p w:rsidR="00BC3A73" w:rsidRDefault="007A705F">
      <w:pPr>
        <w:pStyle w:val="ListParagraph"/>
        <w:numPr>
          <w:ilvl w:val="1"/>
          <w:numId w:val="1"/>
        </w:numPr>
        <w:tabs>
          <w:tab w:val="left" w:pos="840"/>
        </w:tabs>
        <w:spacing w:before="162"/>
        <w:rPr>
          <w:sz w:val="24"/>
        </w:rPr>
      </w:pPr>
      <w:r>
        <w:rPr>
          <w:sz w:val="24"/>
        </w:rPr>
        <w:t>Across different</w:t>
      </w:r>
      <w:r>
        <w:rPr>
          <w:spacing w:val="-8"/>
          <w:sz w:val="24"/>
        </w:rPr>
        <w:t xml:space="preserve"> </w:t>
      </w:r>
      <w:r>
        <w:rPr>
          <w:sz w:val="24"/>
        </w:rPr>
        <w:t>Wards?</w:t>
      </w:r>
    </w:p>
    <w:p w:rsidR="00BC3A73" w:rsidRDefault="007A705F">
      <w:pPr>
        <w:pStyle w:val="ListParagraph"/>
        <w:numPr>
          <w:ilvl w:val="1"/>
          <w:numId w:val="1"/>
        </w:numPr>
        <w:tabs>
          <w:tab w:val="left" w:pos="840"/>
        </w:tabs>
        <w:spacing w:before="160"/>
        <w:rPr>
          <w:sz w:val="24"/>
        </w:rPr>
      </w:pPr>
      <w:r>
        <w:rPr>
          <w:sz w:val="24"/>
        </w:rPr>
        <w:t>Across other “cuts” of the</w:t>
      </w:r>
      <w:r>
        <w:rPr>
          <w:spacing w:val="-9"/>
          <w:sz w:val="24"/>
        </w:rPr>
        <w:t xml:space="preserve"> </w:t>
      </w:r>
      <w:r>
        <w:rPr>
          <w:sz w:val="24"/>
        </w:rPr>
        <w:t>data?</w:t>
      </w:r>
    </w:p>
    <w:p w:rsidR="00BC3A73" w:rsidRDefault="007A705F">
      <w:pPr>
        <w:pStyle w:val="ListParagraph"/>
        <w:numPr>
          <w:ilvl w:val="0"/>
          <w:numId w:val="1"/>
        </w:numPr>
        <w:tabs>
          <w:tab w:val="left" w:pos="480"/>
        </w:tabs>
        <w:spacing w:before="161"/>
        <w:rPr>
          <w:sz w:val="24"/>
        </w:rPr>
      </w:pPr>
      <w:r>
        <w:rPr>
          <w:sz w:val="24"/>
        </w:rPr>
        <w:t>Do trends point to common themes, or do trends seem to contradict one</w:t>
      </w:r>
      <w:r>
        <w:rPr>
          <w:spacing w:val="-19"/>
          <w:sz w:val="24"/>
        </w:rPr>
        <w:t xml:space="preserve"> </w:t>
      </w:r>
      <w:r>
        <w:rPr>
          <w:sz w:val="24"/>
        </w:rPr>
        <w:t>another?</w:t>
      </w:r>
    </w:p>
    <w:p w:rsidR="00BC3A73" w:rsidRDefault="007A705F">
      <w:pPr>
        <w:pStyle w:val="ListParagraph"/>
        <w:numPr>
          <w:ilvl w:val="1"/>
          <w:numId w:val="1"/>
        </w:numPr>
        <w:tabs>
          <w:tab w:val="left" w:pos="840"/>
        </w:tabs>
        <w:spacing w:before="160" w:line="276" w:lineRule="auto"/>
        <w:ind w:right="398"/>
        <w:rPr>
          <w:sz w:val="24"/>
        </w:rPr>
      </w:pPr>
      <w:r>
        <w:rPr>
          <w:sz w:val="24"/>
        </w:rPr>
        <w:t>For example: Does a common group of schools have strong (or weak) results across all metrics?  Or, do some schools have a mix of stronger and weaker</w:t>
      </w:r>
      <w:r>
        <w:rPr>
          <w:spacing w:val="-14"/>
          <w:sz w:val="24"/>
        </w:rPr>
        <w:t xml:space="preserve"> </w:t>
      </w:r>
      <w:r>
        <w:rPr>
          <w:sz w:val="24"/>
        </w:rPr>
        <w:t>results?</w:t>
      </w:r>
    </w:p>
    <w:p w:rsidR="00BC3A73" w:rsidRDefault="007A705F">
      <w:pPr>
        <w:pStyle w:val="ListParagraph"/>
        <w:numPr>
          <w:ilvl w:val="1"/>
          <w:numId w:val="1"/>
        </w:numPr>
        <w:tabs>
          <w:tab w:val="left" w:pos="840"/>
        </w:tabs>
        <w:spacing w:line="276" w:lineRule="auto"/>
        <w:ind w:right="267"/>
        <w:rPr>
          <w:sz w:val="24"/>
        </w:rPr>
      </w:pPr>
      <w:r>
        <w:rPr>
          <w:sz w:val="24"/>
        </w:rPr>
        <w:t>If contradictions are found, how can they be explained? Consider, for example, changes in demographic trends, policies, or school</w:t>
      </w:r>
      <w:r>
        <w:rPr>
          <w:spacing w:val="-12"/>
          <w:sz w:val="24"/>
        </w:rPr>
        <w:t xml:space="preserve"> </w:t>
      </w:r>
      <w:r>
        <w:rPr>
          <w:sz w:val="24"/>
        </w:rPr>
        <w:t>programs.</w:t>
      </w:r>
    </w:p>
    <w:p w:rsidR="00BC3A73" w:rsidRDefault="007A705F">
      <w:pPr>
        <w:pStyle w:val="ListParagraph"/>
        <w:numPr>
          <w:ilvl w:val="0"/>
          <w:numId w:val="1"/>
        </w:numPr>
        <w:tabs>
          <w:tab w:val="left" w:pos="480"/>
        </w:tabs>
        <w:spacing w:line="276" w:lineRule="auto"/>
        <w:ind w:right="146"/>
        <w:rPr>
          <w:sz w:val="24"/>
        </w:rPr>
      </w:pPr>
      <w:r>
        <w:rPr>
          <w:sz w:val="24"/>
        </w:rPr>
        <w:t>How does the LEA’s data set as a whole inform or deepen its understanding of teacher equity and teacher</w:t>
      </w:r>
      <w:r>
        <w:rPr>
          <w:spacing w:val="-8"/>
          <w:sz w:val="24"/>
        </w:rPr>
        <w:t xml:space="preserve"> </w:t>
      </w:r>
      <w:r>
        <w:rPr>
          <w:sz w:val="24"/>
        </w:rPr>
        <w:t>effectivenes</w:t>
      </w:r>
      <w:r>
        <w:rPr>
          <w:sz w:val="24"/>
        </w:rPr>
        <w:t>s?</w:t>
      </w:r>
    </w:p>
    <w:p w:rsidR="00BC3A73" w:rsidRDefault="00BC3A73">
      <w:pPr>
        <w:spacing w:line="276" w:lineRule="auto"/>
        <w:rPr>
          <w:sz w:val="24"/>
        </w:rPr>
        <w:sectPr w:rsidR="00BC3A73">
          <w:pgSz w:w="12240" w:h="15840"/>
          <w:pgMar w:top="1760" w:right="1320" w:bottom="1520" w:left="1320" w:header="720" w:footer="1324" w:gutter="0"/>
          <w:cols w:space="720"/>
        </w:sectPr>
      </w:pPr>
    </w:p>
    <w:p w:rsidR="00BC3A73" w:rsidRDefault="007A705F">
      <w:pPr>
        <w:pStyle w:val="BodyText"/>
        <w:ind w:left="4101"/>
        <w:rPr>
          <w:sz w:val="20"/>
        </w:rPr>
      </w:pPr>
      <w:r>
        <w:rPr>
          <w:noProof/>
          <w:sz w:val="20"/>
        </w:rPr>
        <w:drawing>
          <wp:inline distT="0" distB="0" distL="0" distR="0">
            <wp:extent cx="3186012" cy="67055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3186012" cy="670559"/>
                    </a:xfrm>
                    <a:prstGeom prst="rect">
                      <a:avLst/>
                    </a:prstGeom>
                  </pic:spPr>
                </pic:pic>
              </a:graphicData>
            </a:graphic>
          </wp:inline>
        </w:drawing>
      </w:r>
    </w:p>
    <w:p w:rsidR="00BC3A73" w:rsidRDefault="00BC3A73">
      <w:pPr>
        <w:pStyle w:val="BodyText"/>
        <w:rPr>
          <w:sz w:val="20"/>
        </w:rPr>
      </w:pPr>
    </w:p>
    <w:p w:rsidR="00BC3A73" w:rsidRDefault="00BC3A73">
      <w:pPr>
        <w:pStyle w:val="BodyText"/>
        <w:rPr>
          <w:sz w:val="20"/>
        </w:rPr>
      </w:pPr>
    </w:p>
    <w:p w:rsidR="00BC3A73" w:rsidRDefault="00BC3A73">
      <w:pPr>
        <w:pStyle w:val="BodyText"/>
        <w:spacing w:before="6"/>
        <w:rPr>
          <w:sz w:val="20"/>
        </w:rPr>
      </w:pPr>
    </w:p>
    <w:p w:rsidR="00BC3A73" w:rsidRDefault="007A705F">
      <w:pPr>
        <w:pStyle w:val="Heading2"/>
      </w:pPr>
      <w:r>
        <w:t>Step 4 Worksheet</w:t>
      </w:r>
    </w:p>
    <w:p w:rsidR="00BC3A73" w:rsidRDefault="00BC3A73">
      <w:pPr>
        <w:pStyle w:val="BodyText"/>
        <w:rPr>
          <w:b/>
          <w:sz w:val="14"/>
        </w:rPr>
      </w:pPr>
    </w:p>
    <w:tbl>
      <w:tblPr>
        <w:tblW w:w="0" w:type="auto"/>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left w:w="0" w:type="dxa"/>
          <w:right w:w="0" w:type="dxa"/>
        </w:tblCellMar>
        <w:tblLook w:val="01E0" w:firstRow="1" w:lastRow="1" w:firstColumn="1" w:lastColumn="1" w:noHBand="0" w:noVBand="0"/>
      </w:tblPr>
      <w:tblGrid>
        <w:gridCol w:w="3052"/>
        <w:gridCol w:w="9908"/>
      </w:tblGrid>
      <w:tr w:rsidR="00BC3A73">
        <w:trPr>
          <w:trHeight w:hRule="exact" w:val="418"/>
        </w:trPr>
        <w:tc>
          <w:tcPr>
            <w:tcW w:w="3052" w:type="dxa"/>
            <w:tcBorders>
              <w:top w:val="nil"/>
              <w:left w:val="nil"/>
              <w:right w:val="nil"/>
            </w:tcBorders>
            <w:shd w:val="clear" w:color="auto" w:fill="4472C4"/>
          </w:tcPr>
          <w:p w:rsidR="00BC3A73" w:rsidRDefault="007A705F">
            <w:pPr>
              <w:pStyle w:val="TableParagraph"/>
              <w:ind w:left="71"/>
              <w:rPr>
                <w:b/>
              </w:rPr>
            </w:pPr>
            <w:r>
              <w:rPr>
                <w:b/>
                <w:color w:val="FFFFFF"/>
              </w:rPr>
              <w:t>Focus Question</w:t>
            </w:r>
          </w:p>
        </w:tc>
        <w:tc>
          <w:tcPr>
            <w:tcW w:w="9908" w:type="dxa"/>
            <w:tcBorders>
              <w:top w:val="nil"/>
              <w:left w:val="nil"/>
              <w:right w:val="nil"/>
            </w:tcBorders>
            <w:shd w:val="clear" w:color="auto" w:fill="4472C4"/>
          </w:tcPr>
          <w:p w:rsidR="00BC3A73" w:rsidRDefault="007A705F">
            <w:pPr>
              <w:pStyle w:val="TableParagraph"/>
              <w:ind w:left="71"/>
              <w:rPr>
                <w:b/>
              </w:rPr>
            </w:pPr>
            <w:r>
              <w:rPr>
                <w:b/>
                <w:color w:val="FFFFFF"/>
              </w:rPr>
              <w:t>Notes</w:t>
            </w:r>
          </w:p>
        </w:tc>
      </w:tr>
      <w:tr w:rsidR="00BC3A73">
        <w:trPr>
          <w:trHeight w:hRule="exact" w:val="1880"/>
        </w:trPr>
        <w:tc>
          <w:tcPr>
            <w:tcW w:w="3052" w:type="dxa"/>
          </w:tcPr>
          <w:p w:rsidR="00BC3A73" w:rsidRDefault="007A705F">
            <w:pPr>
              <w:pStyle w:val="TableParagraph"/>
              <w:spacing w:line="276" w:lineRule="auto"/>
              <w:ind w:right="69"/>
            </w:pPr>
            <w:r>
              <w:t>Q1. What does this data exercise reveal about our teacher equity gaps (consider comparing campuses; elementary, middle, and high schools; different wards; other data “cuts”)?</w:t>
            </w:r>
          </w:p>
        </w:tc>
        <w:tc>
          <w:tcPr>
            <w:tcW w:w="9908" w:type="dxa"/>
          </w:tcPr>
          <w:p w:rsidR="00BC3A73" w:rsidRDefault="00BC3A73"/>
        </w:tc>
      </w:tr>
      <w:tr w:rsidR="00BC3A73">
        <w:trPr>
          <w:trHeight w:hRule="exact" w:val="1300"/>
        </w:trPr>
        <w:tc>
          <w:tcPr>
            <w:tcW w:w="3052" w:type="dxa"/>
          </w:tcPr>
          <w:p w:rsidR="00BC3A73" w:rsidRDefault="007A705F">
            <w:pPr>
              <w:pStyle w:val="TableParagraph"/>
              <w:spacing w:line="276" w:lineRule="auto"/>
              <w:ind w:right="80"/>
            </w:pPr>
            <w:r>
              <w:t>Q2. Are emerging trends aligned with one another? Or are contradictions found? (If so, how can they be</w:t>
            </w:r>
            <w:r>
              <w:rPr>
                <w:spacing w:val="-15"/>
              </w:rPr>
              <w:t xml:space="preserve"> </w:t>
            </w:r>
            <w:r>
              <w:t>explained?)</w:t>
            </w:r>
          </w:p>
        </w:tc>
        <w:tc>
          <w:tcPr>
            <w:tcW w:w="9908" w:type="dxa"/>
          </w:tcPr>
          <w:p w:rsidR="00BC3A73" w:rsidRDefault="00BC3A73"/>
        </w:tc>
      </w:tr>
      <w:tr w:rsidR="00BC3A73">
        <w:trPr>
          <w:trHeight w:hRule="exact" w:val="1590"/>
        </w:trPr>
        <w:tc>
          <w:tcPr>
            <w:tcW w:w="3052" w:type="dxa"/>
          </w:tcPr>
          <w:p w:rsidR="00BC3A73" w:rsidRDefault="007A705F">
            <w:pPr>
              <w:pStyle w:val="TableParagraph"/>
              <w:spacing w:before="57" w:line="276" w:lineRule="auto"/>
              <w:ind w:right="155"/>
            </w:pPr>
            <w:r>
              <w:t>Q3. How does the LEA’s data set as a whole inform or deepen the understanding of teacher equity, teacher effectiveness, and student learning?</w:t>
            </w:r>
          </w:p>
        </w:tc>
        <w:tc>
          <w:tcPr>
            <w:tcW w:w="9908" w:type="dxa"/>
          </w:tcPr>
          <w:p w:rsidR="00BC3A73" w:rsidRDefault="00BC3A73"/>
        </w:tc>
      </w:tr>
    </w:tbl>
    <w:p w:rsidR="00BC3A73" w:rsidRDefault="00BC3A73">
      <w:pPr>
        <w:sectPr w:rsidR="00BC3A73">
          <w:headerReference w:type="default" r:id="rId12"/>
          <w:footerReference w:type="default" r:id="rId13"/>
          <w:pgSz w:w="15840" w:h="12240" w:orient="landscape"/>
          <w:pgMar w:top="720" w:right="1300" w:bottom="1240" w:left="1320" w:header="0" w:footer="1044" w:gutter="0"/>
          <w:cols w:space="720"/>
        </w:sectPr>
      </w:pPr>
    </w:p>
    <w:p w:rsidR="00BC3A73" w:rsidRDefault="007A705F">
      <w:pPr>
        <w:pStyle w:val="BodyText"/>
        <w:ind w:left="2301"/>
        <w:rPr>
          <w:sz w:val="20"/>
        </w:rPr>
      </w:pPr>
      <w:r>
        <w:rPr>
          <w:noProof/>
          <w:sz w:val="20"/>
        </w:rPr>
        <w:drawing>
          <wp:inline distT="0" distB="0" distL="0" distR="0">
            <wp:extent cx="3186017" cy="67055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3186017" cy="670559"/>
                    </a:xfrm>
                    <a:prstGeom prst="rect">
                      <a:avLst/>
                    </a:prstGeom>
                  </pic:spPr>
                </pic:pic>
              </a:graphicData>
            </a:graphic>
          </wp:inline>
        </w:drawing>
      </w:r>
    </w:p>
    <w:p w:rsidR="00BC3A73" w:rsidRDefault="00BC3A73">
      <w:pPr>
        <w:pStyle w:val="BodyText"/>
        <w:rPr>
          <w:b/>
          <w:sz w:val="20"/>
        </w:rPr>
      </w:pPr>
    </w:p>
    <w:p w:rsidR="00BC3A73" w:rsidRDefault="00BC3A73">
      <w:pPr>
        <w:pStyle w:val="BodyText"/>
        <w:rPr>
          <w:b/>
          <w:sz w:val="20"/>
        </w:rPr>
      </w:pPr>
    </w:p>
    <w:p w:rsidR="00BC3A73" w:rsidRDefault="00BC3A73">
      <w:pPr>
        <w:pStyle w:val="BodyText"/>
        <w:spacing w:before="5"/>
        <w:rPr>
          <w:b/>
          <w:sz w:val="23"/>
        </w:rPr>
      </w:pPr>
    </w:p>
    <w:p w:rsidR="00BC3A73" w:rsidRDefault="007A705F">
      <w:pPr>
        <w:pStyle w:val="Heading1"/>
        <w:spacing w:before="85"/>
      </w:pPr>
      <w:bookmarkStart w:id="13" w:name="Step_5:_Determining_Priorities_and_Goal_"/>
      <w:bookmarkEnd w:id="13"/>
      <w:r>
        <w:rPr>
          <w:color w:val="1E4E79"/>
        </w:rPr>
        <w:t>Step 5: Determining Priorities and Goal Setting</w:t>
      </w:r>
    </w:p>
    <w:p w:rsidR="00BC3A73" w:rsidRDefault="007A705F">
      <w:pPr>
        <w:pStyle w:val="BodyText"/>
        <w:spacing w:before="181" w:line="276" w:lineRule="auto"/>
        <w:ind w:left="120" w:right="481"/>
      </w:pPr>
      <w:r>
        <w:t>The purpose of Step 5 is to identify the most meaningful equity gaps to prioritize and then set goals for increasing equitable student access to effective, in-field, and experienced teachers, considering the insights revealed by Steps 1-4. For sample meani</w:t>
      </w:r>
      <w:r>
        <w:t>ngful goals, please see the Sample LEA plan.</w:t>
      </w:r>
    </w:p>
    <w:p w:rsidR="00BC3A73" w:rsidRDefault="00BC3A73">
      <w:pPr>
        <w:pStyle w:val="BodyText"/>
        <w:rPr>
          <w:sz w:val="21"/>
        </w:rPr>
      </w:pPr>
    </w:p>
    <w:p w:rsidR="00BC3A73" w:rsidRDefault="007A705F">
      <w:pPr>
        <w:pStyle w:val="BodyText"/>
        <w:ind w:left="120"/>
      </w:pPr>
      <w:r>
        <w:t>To prioritize the gaps, LEAs should consider the following questions:</w:t>
      </w:r>
    </w:p>
    <w:p w:rsidR="00BC3A73" w:rsidRDefault="007A705F">
      <w:pPr>
        <w:pStyle w:val="ListParagraph"/>
        <w:numPr>
          <w:ilvl w:val="0"/>
          <w:numId w:val="6"/>
        </w:numPr>
        <w:tabs>
          <w:tab w:val="left" w:pos="479"/>
          <w:tab w:val="left" w:pos="480"/>
        </w:tabs>
        <w:spacing w:before="160" w:line="276" w:lineRule="auto"/>
        <w:ind w:left="480" w:right="607"/>
        <w:rPr>
          <w:sz w:val="24"/>
        </w:rPr>
      </w:pPr>
      <w:r>
        <w:rPr>
          <w:i/>
          <w:sz w:val="24"/>
        </w:rPr>
        <w:t xml:space="preserve">Feasibility: </w:t>
      </w:r>
      <w:r>
        <w:rPr>
          <w:sz w:val="24"/>
        </w:rPr>
        <w:t>Which gaps are the most feasible to address in the short term for early wins? Which gaps are more feasible for long-term</w:t>
      </w:r>
      <w:r>
        <w:rPr>
          <w:spacing w:val="-15"/>
          <w:sz w:val="24"/>
        </w:rPr>
        <w:t xml:space="preserve"> </w:t>
      </w:r>
      <w:r>
        <w:rPr>
          <w:sz w:val="24"/>
        </w:rPr>
        <w:t>planni</w:t>
      </w:r>
      <w:r>
        <w:rPr>
          <w:sz w:val="24"/>
        </w:rPr>
        <w:t>ng?</w:t>
      </w:r>
    </w:p>
    <w:p w:rsidR="00BC3A73" w:rsidRDefault="007A705F">
      <w:pPr>
        <w:pStyle w:val="ListParagraph"/>
        <w:numPr>
          <w:ilvl w:val="0"/>
          <w:numId w:val="6"/>
        </w:numPr>
        <w:tabs>
          <w:tab w:val="left" w:pos="479"/>
          <w:tab w:val="left" w:pos="480"/>
        </w:tabs>
        <w:ind w:left="480"/>
        <w:rPr>
          <w:sz w:val="24"/>
        </w:rPr>
      </w:pPr>
      <w:r>
        <w:rPr>
          <w:i/>
          <w:sz w:val="24"/>
        </w:rPr>
        <w:t xml:space="preserve">Momentum: </w:t>
      </w:r>
      <w:r>
        <w:rPr>
          <w:sz w:val="24"/>
        </w:rPr>
        <w:t>What momentum already exists that could be</w:t>
      </w:r>
      <w:r>
        <w:rPr>
          <w:spacing w:val="-16"/>
          <w:sz w:val="24"/>
        </w:rPr>
        <w:t xml:space="preserve"> </w:t>
      </w:r>
      <w:r>
        <w:rPr>
          <w:sz w:val="24"/>
        </w:rPr>
        <w:t>leveraged?</w:t>
      </w:r>
    </w:p>
    <w:p w:rsidR="00BC3A73" w:rsidRDefault="007A705F">
      <w:pPr>
        <w:pStyle w:val="ListParagraph"/>
        <w:numPr>
          <w:ilvl w:val="0"/>
          <w:numId w:val="6"/>
        </w:numPr>
        <w:tabs>
          <w:tab w:val="left" w:pos="479"/>
          <w:tab w:val="left" w:pos="480"/>
        </w:tabs>
        <w:spacing w:before="161" w:line="276" w:lineRule="auto"/>
        <w:ind w:left="480" w:right="327"/>
        <w:rPr>
          <w:sz w:val="24"/>
        </w:rPr>
      </w:pPr>
      <w:r>
        <w:rPr>
          <w:i/>
          <w:sz w:val="24"/>
        </w:rPr>
        <w:t xml:space="preserve">Impact: </w:t>
      </w:r>
      <w:r>
        <w:rPr>
          <w:sz w:val="24"/>
        </w:rPr>
        <w:t>Are any gaps “high leverage,” such that if they were addressed, they would cause a “ripple effect” of positive</w:t>
      </w:r>
      <w:r>
        <w:rPr>
          <w:spacing w:val="-12"/>
          <w:sz w:val="24"/>
        </w:rPr>
        <w:t xml:space="preserve"> </w:t>
      </w:r>
      <w:r>
        <w:rPr>
          <w:sz w:val="24"/>
        </w:rPr>
        <w:t>effects?</w:t>
      </w:r>
    </w:p>
    <w:p w:rsidR="00BC3A73" w:rsidRDefault="007A705F">
      <w:pPr>
        <w:pStyle w:val="ListParagraph"/>
        <w:numPr>
          <w:ilvl w:val="0"/>
          <w:numId w:val="6"/>
        </w:numPr>
        <w:tabs>
          <w:tab w:val="left" w:pos="479"/>
          <w:tab w:val="left" w:pos="480"/>
        </w:tabs>
        <w:spacing w:before="121"/>
        <w:ind w:left="480"/>
        <w:rPr>
          <w:sz w:val="24"/>
        </w:rPr>
      </w:pPr>
      <w:r>
        <w:rPr>
          <w:i/>
          <w:sz w:val="24"/>
        </w:rPr>
        <w:t xml:space="preserve">Autonomy: </w:t>
      </w:r>
      <w:r>
        <w:rPr>
          <w:sz w:val="24"/>
        </w:rPr>
        <w:t>Is there autonomy to make</w:t>
      </w:r>
      <w:r>
        <w:rPr>
          <w:spacing w:val="-10"/>
          <w:sz w:val="24"/>
        </w:rPr>
        <w:t xml:space="preserve"> </w:t>
      </w:r>
      <w:r>
        <w:rPr>
          <w:sz w:val="24"/>
        </w:rPr>
        <w:t>changes?</w:t>
      </w:r>
    </w:p>
    <w:p w:rsidR="00BC3A73" w:rsidRDefault="007A705F">
      <w:pPr>
        <w:pStyle w:val="ListParagraph"/>
        <w:numPr>
          <w:ilvl w:val="0"/>
          <w:numId w:val="6"/>
        </w:numPr>
        <w:tabs>
          <w:tab w:val="left" w:pos="479"/>
          <w:tab w:val="left" w:pos="480"/>
        </w:tabs>
        <w:spacing w:before="160"/>
        <w:ind w:left="480"/>
        <w:rPr>
          <w:sz w:val="24"/>
        </w:rPr>
      </w:pPr>
      <w:r>
        <w:rPr>
          <w:i/>
          <w:sz w:val="24"/>
        </w:rPr>
        <w:t xml:space="preserve">Alignment: </w:t>
      </w:r>
      <w:r>
        <w:rPr>
          <w:sz w:val="24"/>
        </w:rPr>
        <w:t>Is it possible to align these goals with ongoing initiatives or existing</w:t>
      </w:r>
      <w:r>
        <w:rPr>
          <w:spacing w:val="-23"/>
          <w:sz w:val="24"/>
        </w:rPr>
        <w:t xml:space="preserve"> </w:t>
      </w:r>
      <w:r>
        <w:rPr>
          <w:sz w:val="24"/>
        </w:rPr>
        <w:t>goals?</w:t>
      </w:r>
    </w:p>
    <w:p w:rsidR="00BC3A73" w:rsidRDefault="007A705F">
      <w:pPr>
        <w:pStyle w:val="ListParagraph"/>
        <w:numPr>
          <w:ilvl w:val="0"/>
          <w:numId w:val="6"/>
        </w:numPr>
        <w:tabs>
          <w:tab w:val="left" w:pos="479"/>
          <w:tab w:val="left" w:pos="480"/>
        </w:tabs>
        <w:spacing w:before="161"/>
        <w:ind w:left="480"/>
        <w:rPr>
          <w:sz w:val="24"/>
        </w:rPr>
      </w:pPr>
      <w:r>
        <w:rPr>
          <w:i/>
          <w:sz w:val="24"/>
        </w:rPr>
        <w:t xml:space="preserve">Champions: </w:t>
      </w:r>
      <w:r>
        <w:rPr>
          <w:sz w:val="24"/>
        </w:rPr>
        <w:t>Are there champions who push specific</w:t>
      </w:r>
      <w:r>
        <w:rPr>
          <w:spacing w:val="-12"/>
          <w:sz w:val="24"/>
        </w:rPr>
        <w:t xml:space="preserve"> </w:t>
      </w:r>
      <w:r>
        <w:rPr>
          <w:sz w:val="24"/>
        </w:rPr>
        <w:t>goals?</w:t>
      </w:r>
    </w:p>
    <w:p w:rsidR="00BC3A73" w:rsidRDefault="007A705F">
      <w:pPr>
        <w:pStyle w:val="ListParagraph"/>
        <w:numPr>
          <w:ilvl w:val="0"/>
          <w:numId w:val="6"/>
        </w:numPr>
        <w:tabs>
          <w:tab w:val="left" w:pos="479"/>
          <w:tab w:val="left" w:pos="480"/>
        </w:tabs>
        <w:spacing w:before="160"/>
        <w:ind w:left="480"/>
        <w:rPr>
          <w:sz w:val="24"/>
        </w:rPr>
      </w:pPr>
      <w:r>
        <w:rPr>
          <w:i/>
          <w:sz w:val="24"/>
        </w:rPr>
        <w:t xml:space="preserve">Resources: </w:t>
      </w:r>
      <w:r>
        <w:rPr>
          <w:sz w:val="24"/>
        </w:rPr>
        <w:t>Does the LEA</w:t>
      </w:r>
      <w:bookmarkStart w:id="14" w:name="_GoBack"/>
      <w:bookmarkEnd w:id="14"/>
      <w:r>
        <w:rPr>
          <w:sz w:val="24"/>
        </w:rPr>
        <w:t xml:space="preserve"> have the resources and support needed to address this</w:t>
      </w:r>
      <w:r>
        <w:rPr>
          <w:spacing w:val="-19"/>
          <w:sz w:val="24"/>
        </w:rPr>
        <w:t xml:space="preserve"> </w:t>
      </w:r>
      <w:r>
        <w:rPr>
          <w:sz w:val="24"/>
        </w:rPr>
        <w:t>gap?</w:t>
      </w: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rPr>
          <w:sz w:val="20"/>
        </w:rPr>
      </w:pPr>
    </w:p>
    <w:p w:rsidR="00BC3A73" w:rsidRDefault="00BC3A73">
      <w:pPr>
        <w:pStyle w:val="BodyText"/>
        <w:spacing w:before="5"/>
        <w:rPr>
          <w:sz w:val="22"/>
        </w:rPr>
      </w:pPr>
    </w:p>
    <w:p w:rsidR="00BC3A73" w:rsidRDefault="007A705F">
      <w:pPr>
        <w:spacing w:before="60"/>
        <w:ind w:left="120"/>
        <w:rPr>
          <w:rFonts w:ascii="Calibri" w:hAnsi="Calibri"/>
          <w:sz w:val="20"/>
        </w:rPr>
      </w:pPr>
      <w:r>
        <w:rPr>
          <w:rFonts w:ascii="Calibri" w:hAnsi="Calibri"/>
          <w:sz w:val="20"/>
        </w:rPr>
        <w:t>DRAFT FOR DISCUSSION — DO NOT CITE OR DISTRIBUTE</w:t>
      </w:r>
    </w:p>
    <w:p w:rsidR="00BC3A73" w:rsidRDefault="00BC3A73">
      <w:pPr>
        <w:rPr>
          <w:rFonts w:ascii="Calibri" w:hAnsi="Calibri"/>
          <w:sz w:val="20"/>
        </w:rPr>
        <w:sectPr w:rsidR="00BC3A73">
          <w:headerReference w:type="default" r:id="rId14"/>
          <w:footerReference w:type="default" r:id="rId15"/>
          <w:pgSz w:w="12240" w:h="15840"/>
          <w:pgMar w:top="720" w:right="1320" w:bottom="1240" w:left="1320" w:header="0" w:footer="1044" w:gutter="0"/>
          <w:cols w:space="720"/>
        </w:sectPr>
      </w:pPr>
    </w:p>
    <w:p w:rsidR="00BC3A73" w:rsidRDefault="007A705F">
      <w:pPr>
        <w:pStyle w:val="BodyText"/>
        <w:ind w:left="4101"/>
        <w:rPr>
          <w:rFonts w:ascii="Calibri"/>
          <w:sz w:val="20"/>
        </w:rPr>
      </w:pPr>
      <w:r>
        <w:rPr>
          <w:rFonts w:ascii="Calibri"/>
          <w:noProof/>
          <w:sz w:val="20"/>
        </w:rPr>
        <w:drawing>
          <wp:inline distT="0" distB="0" distL="0" distR="0">
            <wp:extent cx="3186012" cy="670559"/>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3186012" cy="670559"/>
                    </a:xfrm>
                    <a:prstGeom prst="rect">
                      <a:avLst/>
                    </a:prstGeom>
                  </pic:spPr>
                </pic:pic>
              </a:graphicData>
            </a:graphic>
          </wp:inline>
        </w:drawing>
      </w:r>
    </w:p>
    <w:p w:rsidR="00BC3A73" w:rsidRDefault="00BC3A73">
      <w:pPr>
        <w:pStyle w:val="BodyText"/>
        <w:rPr>
          <w:rFonts w:ascii="Calibri"/>
          <w:sz w:val="20"/>
        </w:rPr>
      </w:pPr>
    </w:p>
    <w:p w:rsidR="00BC3A73" w:rsidRDefault="00BC3A73">
      <w:pPr>
        <w:pStyle w:val="BodyText"/>
        <w:spacing w:before="8"/>
        <w:rPr>
          <w:rFonts w:ascii="Calibri"/>
          <w:sz w:val="29"/>
        </w:rPr>
      </w:pPr>
    </w:p>
    <w:p w:rsidR="00BC3A73" w:rsidRDefault="007A705F">
      <w:pPr>
        <w:pStyle w:val="Heading2"/>
        <w:spacing w:before="90"/>
      </w:pPr>
      <w:r>
        <w:t>Step 5 Prioritization Worksheet</w:t>
      </w:r>
    </w:p>
    <w:p w:rsidR="00BC3A73" w:rsidRDefault="00BC3A73">
      <w:pPr>
        <w:pStyle w:val="BodyText"/>
        <w:rPr>
          <w:b/>
          <w:sz w:val="14"/>
        </w:rPr>
      </w:pPr>
    </w:p>
    <w:tbl>
      <w:tblPr>
        <w:tblW w:w="0" w:type="auto"/>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left w:w="0" w:type="dxa"/>
          <w:right w:w="0" w:type="dxa"/>
        </w:tblCellMar>
        <w:tblLook w:val="01E0" w:firstRow="1" w:lastRow="1" w:firstColumn="1" w:lastColumn="1" w:noHBand="0" w:noVBand="0"/>
      </w:tblPr>
      <w:tblGrid>
        <w:gridCol w:w="1715"/>
        <w:gridCol w:w="1554"/>
        <w:gridCol w:w="1739"/>
        <w:gridCol w:w="1507"/>
        <w:gridCol w:w="1610"/>
        <w:gridCol w:w="1608"/>
        <w:gridCol w:w="1690"/>
        <w:gridCol w:w="1520"/>
      </w:tblGrid>
      <w:tr w:rsidR="00BC3A73">
        <w:trPr>
          <w:trHeight w:hRule="exact" w:val="418"/>
        </w:trPr>
        <w:tc>
          <w:tcPr>
            <w:tcW w:w="1715" w:type="dxa"/>
            <w:tcBorders>
              <w:top w:val="nil"/>
              <w:left w:val="nil"/>
              <w:right w:val="nil"/>
            </w:tcBorders>
            <w:shd w:val="clear" w:color="auto" w:fill="4472C4"/>
          </w:tcPr>
          <w:p w:rsidR="00BC3A73" w:rsidRDefault="007A705F">
            <w:pPr>
              <w:pStyle w:val="TableParagraph"/>
              <w:ind w:left="71"/>
              <w:rPr>
                <w:b/>
              </w:rPr>
            </w:pPr>
            <w:r>
              <w:rPr>
                <w:b/>
                <w:color w:val="FFFFFF"/>
              </w:rPr>
              <w:t>Gap to Address</w:t>
            </w:r>
          </w:p>
        </w:tc>
        <w:tc>
          <w:tcPr>
            <w:tcW w:w="1554" w:type="dxa"/>
            <w:tcBorders>
              <w:top w:val="nil"/>
              <w:left w:val="nil"/>
              <w:right w:val="nil"/>
            </w:tcBorders>
            <w:shd w:val="clear" w:color="auto" w:fill="4472C4"/>
          </w:tcPr>
          <w:p w:rsidR="00BC3A73" w:rsidRDefault="007A705F">
            <w:pPr>
              <w:pStyle w:val="TableParagraph"/>
              <w:ind w:left="71"/>
              <w:rPr>
                <w:b/>
              </w:rPr>
            </w:pPr>
            <w:r>
              <w:rPr>
                <w:b/>
                <w:color w:val="FFFFFF"/>
              </w:rPr>
              <w:t>Feasibility</w:t>
            </w:r>
          </w:p>
        </w:tc>
        <w:tc>
          <w:tcPr>
            <w:tcW w:w="1739" w:type="dxa"/>
            <w:tcBorders>
              <w:top w:val="nil"/>
              <w:left w:val="nil"/>
              <w:right w:val="nil"/>
            </w:tcBorders>
            <w:shd w:val="clear" w:color="auto" w:fill="4472C4"/>
          </w:tcPr>
          <w:p w:rsidR="00BC3A73" w:rsidRDefault="007A705F">
            <w:pPr>
              <w:pStyle w:val="TableParagraph"/>
              <w:ind w:left="71"/>
              <w:rPr>
                <w:b/>
              </w:rPr>
            </w:pPr>
            <w:r>
              <w:rPr>
                <w:b/>
                <w:color w:val="FFFFFF"/>
              </w:rPr>
              <w:t>Momentum</w:t>
            </w:r>
          </w:p>
        </w:tc>
        <w:tc>
          <w:tcPr>
            <w:tcW w:w="1507" w:type="dxa"/>
            <w:tcBorders>
              <w:top w:val="nil"/>
              <w:left w:val="nil"/>
              <w:right w:val="nil"/>
            </w:tcBorders>
            <w:shd w:val="clear" w:color="auto" w:fill="4472C4"/>
          </w:tcPr>
          <w:p w:rsidR="00BC3A73" w:rsidRDefault="007A705F">
            <w:pPr>
              <w:pStyle w:val="TableParagraph"/>
              <w:ind w:left="71"/>
              <w:rPr>
                <w:b/>
              </w:rPr>
            </w:pPr>
            <w:r>
              <w:rPr>
                <w:b/>
                <w:color w:val="FFFFFF"/>
              </w:rPr>
              <w:t>Impact</w:t>
            </w:r>
          </w:p>
        </w:tc>
        <w:tc>
          <w:tcPr>
            <w:tcW w:w="1610" w:type="dxa"/>
            <w:tcBorders>
              <w:top w:val="nil"/>
              <w:left w:val="nil"/>
              <w:right w:val="nil"/>
            </w:tcBorders>
            <w:shd w:val="clear" w:color="auto" w:fill="4472C4"/>
          </w:tcPr>
          <w:p w:rsidR="00BC3A73" w:rsidRDefault="007A705F">
            <w:pPr>
              <w:pStyle w:val="TableParagraph"/>
              <w:ind w:left="71"/>
              <w:rPr>
                <w:b/>
              </w:rPr>
            </w:pPr>
            <w:r>
              <w:rPr>
                <w:b/>
                <w:color w:val="FFFFFF"/>
              </w:rPr>
              <w:t>Autonomy</w:t>
            </w:r>
          </w:p>
        </w:tc>
        <w:tc>
          <w:tcPr>
            <w:tcW w:w="1608" w:type="dxa"/>
            <w:tcBorders>
              <w:top w:val="nil"/>
              <w:left w:val="nil"/>
              <w:right w:val="nil"/>
            </w:tcBorders>
            <w:shd w:val="clear" w:color="auto" w:fill="4472C4"/>
          </w:tcPr>
          <w:p w:rsidR="00BC3A73" w:rsidRDefault="007A705F">
            <w:pPr>
              <w:pStyle w:val="TableParagraph"/>
              <w:ind w:left="71"/>
              <w:rPr>
                <w:b/>
              </w:rPr>
            </w:pPr>
            <w:r>
              <w:rPr>
                <w:b/>
                <w:color w:val="FFFFFF"/>
              </w:rPr>
              <w:t>Alignment</w:t>
            </w:r>
          </w:p>
        </w:tc>
        <w:tc>
          <w:tcPr>
            <w:tcW w:w="1690" w:type="dxa"/>
            <w:tcBorders>
              <w:top w:val="nil"/>
              <w:left w:val="nil"/>
              <w:right w:val="nil"/>
            </w:tcBorders>
            <w:shd w:val="clear" w:color="auto" w:fill="4472C4"/>
          </w:tcPr>
          <w:p w:rsidR="00BC3A73" w:rsidRDefault="007A705F">
            <w:pPr>
              <w:pStyle w:val="TableParagraph"/>
              <w:ind w:left="71"/>
              <w:rPr>
                <w:b/>
              </w:rPr>
            </w:pPr>
            <w:r>
              <w:rPr>
                <w:b/>
                <w:color w:val="FFFFFF"/>
              </w:rPr>
              <w:t>Champions</w:t>
            </w:r>
          </w:p>
        </w:tc>
        <w:tc>
          <w:tcPr>
            <w:tcW w:w="1520" w:type="dxa"/>
            <w:tcBorders>
              <w:top w:val="nil"/>
              <w:left w:val="nil"/>
              <w:right w:val="nil"/>
            </w:tcBorders>
            <w:shd w:val="clear" w:color="auto" w:fill="4472C4"/>
          </w:tcPr>
          <w:p w:rsidR="00BC3A73" w:rsidRDefault="007A705F">
            <w:pPr>
              <w:pStyle w:val="TableParagraph"/>
              <w:ind w:left="71"/>
              <w:rPr>
                <w:b/>
              </w:rPr>
            </w:pPr>
            <w:r>
              <w:rPr>
                <w:b/>
                <w:color w:val="FFFFFF"/>
              </w:rPr>
              <w:t>Resources</w:t>
            </w:r>
          </w:p>
        </w:tc>
      </w:tr>
      <w:tr w:rsidR="00BC3A73">
        <w:trPr>
          <w:trHeight w:hRule="exact" w:val="736"/>
        </w:trPr>
        <w:tc>
          <w:tcPr>
            <w:tcW w:w="1715" w:type="dxa"/>
          </w:tcPr>
          <w:p w:rsidR="00BC3A73" w:rsidRDefault="00BC3A73"/>
        </w:tc>
        <w:tc>
          <w:tcPr>
            <w:tcW w:w="1554" w:type="dxa"/>
          </w:tcPr>
          <w:p w:rsidR="00BC3A73" w:rsidRDefault="00BC3A73"/>
        </w:tc>
        <w:tc>
          <w:tcPr>
            <w:tcW w:w="1739" w:type="dxa"/>
          </w:tcPr>
          <w:p w:rsidR="00BC3A73" w:rsidRDefault="00BC3A73"/>
        </w:tc>
        <w:tc>
          <w:tcPr>
            <w:tcW w:w="1507" w:type="dxa"/>
          </w:tcPr>
          <w:p w:rsidR="00BC3A73" w:rsidRDefault="00BC3A73"/>
        </w:tc>
        <w:tc>
          <w:tcPr>
            <w:tcW w:w="1610" w:type="dxa"/>
          </w:tcPr>
          <w:p w:rsidR="00BC3A73" w:rsidRDefault="00BC3A73"/>
        </w:tc>
        <w:tc>
          <w:tcPr>
            <w:tcW w:w="1608" w:type="dxa"/>
          </w:tcPr>
          <w:p w:rsidR="00BC3A73" w:rsidRDefault="00BC3A73"/>
        </w:tc>
        <w:tc>
          <w:tcPr>
            <w:tcW w:w="1690" w:type="dxa"/>
          </w:tcPr>
          <w:p w:rsidR="00BC3A73" w:rsidRDefault="00BC3A73"/>
        </w:tc>
        <w:tc>
          <w:tcPr>
            <w:tcW w:w="1520" w:type="dxa"/>
          </w:tcPr>
          <w:p w:rsidR="00BC3A73" w:rsidRDefault="00BC3A73"/>
        </w:tc>
      </w:tr>
      <w:tr w:rsidR="00BC3A73">
        <w:trPr>
          <w:trHeight w:hRule="exact" w:val="734"/>
        </w:trPr>
        <w:tc>
          <w:tcPr>
            <w:tcW w:w="1715" w:type="dxa"/>
          </w:tcPr>
          <w:p w:rsidR="00BC3A73" w:rsidRDefault="00BC3A73"/>
        </w:tc>
        <w:tc>
          <w:tcPr>
            <w:tcW w:w="1554" w:type="dxa"/>
          </w:tcPr>
          <w:p w:rsidR="00BC3A73" w:rsidRDefault="00BC3A73"/>
        </w:tc>
        <w:tc>
          <w:tcPr>
            <w:tcW w:w="1739" w:type="dxa"/>
          </w:tcPr>
          <w:p w:rsidR="00BC3A73" w:rsidRDefault="00BC3A73"/>
        </w:tc>
        <w:tc>
          <w:tcPr>
            <w:tcW w:w="1507" w:type="dxa"/>
          </w:tcPr>
          <w:p w:rsidR="00BC3A73" w:rsidRDefault="00BC3A73"/>
        </w:tc>
        <w:tc>
          <w:tcPr>
            <w:tcW w:w="1610" w:type="dxa"/>
          </w:tcPr>
          <w:p w:rsidR="00BC3A73" w:rsidRDefault="00BC3A73"/>
        </w:tc>
        <w:tc>
          <w:tcPr>
            <w:tcW w:w="1608" w:type="dxa"/>
          </w:tcPr>
          <w:p w:rsidR="00BC3A73" w:rsidRDefault="00BC3A73"/>
        </w:tc>
        <w:tc>
          <w:tcPr>
            <w:tcW w:w="1690" w:type="dxa"/>
          </w:tcPr>
          <w:p w:rsidR="00BC3A73" w:rsidRDefault="00BC3A73"/>
        </w:tc>
        <w:tc>
          <w:tcPr>
            <w:tcW w:w="1520" w:type="dxa"/>
          </w:tcPr>
          <w:p w:rsidR="00BC3A73" w:rsidRDefault="00BC3A73"/>
        </w:tc>
      </w:tr>
      <w:tr w:rsidR="00BC3A73">
        <w:trPr>
          <w:trHeight w:hRule="exact" w:val="736"/>
        </w:trPr>
        <w:tc>
          <w:tcPr>
            <w:tcW w:w="1715" w:type="dxa"/>
          </w:tcPr>
          <w:p w:rsidR="00BC3A73" w:rsidRDefault="00BC3A73"/>
        </w:tc>
        <w:tc>
          <w:tcPr>
            <w:tcW w:w="1554" w:type="dxa"/>
          </w:tcPr>
          <w:p w:rsidR="00BC3A73" w:rsidRDefault="00BC3A73"/>
        </w:tc>
        <w:tc>
          <w:tcPr>
            <w:tcW w:w="1739" w:type="dxa"/>
          </w:tcPr>
          <w:p w:rsidR="00BC3A73" w:rsidRDefault="00BC3A73"/>
        </w:tc>
        <w:tc>
          <w:tcPr>
            <w:tcW w:w="1507" w:type="dxa"/>
          </w:tcPr>
          <w:p w:rsidR="00BC3A73" w:rsidRDefault="00BC3A73"/>
        </w:tc>
        <w:tc>
          <w:tcPr>
            <w:tcW w:w="1610" w:type="dxa"/>
          </w:tcPr>
          <w:p w:rsidR="00BC3A73" w:rsidRDefault="00BC3A73"/>
        </w:tc>
        <w:tc>
          <w:tcPr>
            <w:tcW w:w="1608" w:type="dxa"/>
          </w:tcPr>
          <w:p w:rsidR="00BC3A73" w:rsidRDefault="00BC3A73"/>
        </w:tc>
        <w:tc>
          <w:tcPr>
            <w:tcW w:w="1690" w:type="dxa"/>
          </w:tcPr>
          <w:p w:rsidR="00BC3A73" w:rsidRDefault="00BC3A73"/>
        </w:tc>
        <w:tc>
          <w:tcPr>
            <w:tcW w:w="1520" w:type="dxa"/>
          </w:tcPr>
          <w:p w:rsidR="00BC3A73" w:rsidRDefault="00BC3A73"/>
        </w:tc>
      </w:tr>
      <w:tr w:rsidR="00BC3A73">
        <w:trPr>
          <w:trHeight w:hRule="exact" w:val="736"/>
        </w:trPr>
        <w:tc>
          <w:tcPr>
            <w:tcW w:w="1715" w:type="dxa"/>
          </w:tcPr>
          <w:p w:rsidR="00BC3A73" w:rsidRDefault="00BC3A73"/>
        </w:tc>
        <w:tc>
          <w:tcPr>
            <w:tcW w:w="1554" w:type="dxa"/>
          </w:tcPr>
          <w:p w:rsidR="00BC3A73" w:rsidRDefault="00BC3A73"/>
        </w:tc>
        <w:tc>
          <w:tcPr>
            <w:tcW w:w="1739" w:type="dxa"/>
          </w:tcPr>
          <w:p w:rsidR="00BC3A73" w:rsidRDefault="00BC3A73"/>
        </w:tc>
        <w:tc>
          <w:tcPr>
            <w:tcW w:w="1507" w:type="dxa"/>
          </w:tcPr>
          <w:p w:rsidR="00BC3A73" w:rsidRDefault="00BC3A73"/>
        </w:tc>
        <w:tc>
          <w:tcPr>
            <w:tcW w:w="1610" w:type="dxa"/>
          </w:tcPr>
          <w:p w:rsidR="00BC3A73" w:rsidRDefault="00BC3A73"/>
        </w:tc>
        <w:tc>
          <w:tcPr>
            <w:tcW w:w="1608" w:type="dxa"/>
          </w:tcPr>
          <w:p w:rsidR="00BC3A73" w:rsidRDefault="00BC3A73"/>
        </w:tc>
        <w:tc>
          <w:tcPr>
            <w:tcW w:w="1690" w:type="dxa"/>
          </w:tcPr>
          <w:p w:rsidR="00BC3A73" w:rsidRDefault="00BC3A73"/>
        </w:tc>
        <w:tc>
          <w:tcPr>
            <w:tcW w:w="1520" w:type="dxa"/>
          </w:tcPr>
          <w:p w:rsidR="00BC3A73" w:rsidRDefault="00BC3A73"/>
        </w:tc>
      </w:tr>
    </w:tbl>
    <w:p w:rsidR="00BC3A73" w:rsidRDefault="00BC3A73">
      <w:pPr>
        <w:sectPr w:rsidR="00BC3A73">
          <w:headerReference w:type="default" r:id="rId16"/>
          <w:footerReference w:type="default" r:id="rId17"/>
          <w:pgSz w:w="15840" w:h="12240" w:orient="landscape"/>
          <w:pgMar w:top="720" w:right="1320" w:bottom="1240" w:left="1320" w:header="0" w:footer="1044" w:gutter="0"/>
          <w:cols w:space="720"/>
        </w:sectPr>
      </w:pPr>
    </w:p>
    <w:p w:rsidR="00BC3A73" w:rsidRDefault="007A705F">
      <w:pPr>
        <w:pStyle w:val="BodyText"/>
        <w:ind w:left="2301"/>
        <w:rPr>
          <w:sz w:val="20"/>
        </w:rPr>
      </w:pPr>
      <w:r>
        <w:rPr>
          <w:noProof/>
          <w:sz w:val="20"/>
        </w:rPr>
        <w:drawing>
          <wp:inline distT="0" distB="0" distL="0" distR="0">
            <wp:extent cx="3186017" cy="67055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1" cstate="print"/>
                    <a:stretch>
                      <a:fillRect/>
                    </a:stretch>
                  </pic:blipFill>
                  <pic:spPr>
                    <a:xfrm>
                      <a:off x="0" y="0"/>
                      <a:ext cx="3186017" cy="670559"/>
                    </a:xfrm>
                    <a:prstGeom prst="rect">
                      <a:avLst/>
                    </a:prstGeom>
                  </pic:spPr>
                </pic:pic>
              </a:graphicData>
            </a:graphic>
          </wp:inline>
        </w:drawing>
      </w:r>
    </w:p>
    <w:p w:rsidR="00BC3A73" w:rsidRDefault="00BC3A73">
      <w:pPr>
        <w:pStyle w:val="BodyText"/>
        <w:rPr>
          <w:b/>
          <w:sz w:val="20"/>
        </w:rPr>
      </w:pPr>
    </w:p>
    <w:p w:rsidR="00BC3A73" w:rsidRDefault="00BC3A73">
      <w:pPr>
        <w:pStyle w:val="BodyText"/>
        <w:rPr>
          <w:b/>
          <w:sz w:val="20"/>
        </w:rPr>
      </w:pPr>
    </w:p>
    <w:p w:rsidR="00BC3A73" w:rsidRDefault="007A705F">
      <w:pPr>
        <w:pStyle w:val="BodyText"/>
        <w:spacing w:before="234"/>
        <w:ind w:left="120"/>
      </w:pPr>
      <w:r>
        <w:t>When writing LEA goals, LEAs should consider:</w:t>
      </w:r>
    </w:p>
    <w:p w:rsidR="00BC3A73" w:rsidRDefault="007A705F">
      <w:pPr>
        <w:pStyle w:val="ListParagraph"/>
        <w:numPr>
          <w:ilvl w:val="0"/>
          <w:numId w:val="6"/>
        </w:numPr>
        <w:tabs>
          <w:tab w:val="left" w:pos="479"/>
          <w:tab w:val="left" w:pos="480"/>
        </w:tabs>
        <w:spacing w:before="162"/>
        <w:ind w:left="480"/>
        <w:rPr>
          <w:sz w:val="24"/>
        </w:rPr>
      </w:pPr>
      <w:r>
        <w:rPr>
          <w:sz w:val="24"/>
        </w:rPr>
        <w:t>Is each goal specific, measurable, achievable, and</w:t>
      </w:r>
      <w:r>
        <w:rPr>
          <w:spacing w:val="-15"/>
          <w:sz w:val="24"/>
        </w:rPr>
        <w:t xml:space="preserve"> </w:t>
      </w:r>
      <w:r>
        <w:rPr>
          <w:sz w:val="24"/>
        </w:rPr>
        <w:t>relevant?</w:t>
      </w:r>
    </w:p>
    <w:p w:rsidR="00BC3A73" w:rsidRDefault="007A705F">
      <w:pPr>
        <w:pStyle w:val="ListParagraph"/>
        <w:numPr>
          <w:ilvl w:val="0"/>
          <w:numId w:val="6"/>
        </w:numPr>
        <w:tabs>
          <w:tab w:val="left" w:pos="479"/>
          <w:tab w:val="left" w:pos="480"/>
        </w:tabs>
        <w:spacing w:before="160" w:line="276" w:lineRule="auto"/>
        <w:ind w:left="480" w:right="180"/>
        <w:rPr>
          <w:sz w:val="24"/>
        </w:rPr>
      </w:pPr>
      <w:r>
        <w:rPr>
          <w:sz w:val="24"/>
        </w:rPr>
        <w:t>Is each goal aspirational or realistic? Will it be most useful to use the goal setting exercise to set high expectations, or for</w:t>
      </w:r>
      <w:r>
        <w:rPr>
          <w:spacing w:val="-15"/>
          <w:sz w:val="24"/>
        </w:rPr>
        <w:t xml:space="preserve"> </w:t>
      </w:r>
      <w:r>
        <w:rPr>
          <w:sz w:val="24"/>
        </w:rPr>
        <w:t>feasibility?</w:t>
      </w:r>
    </w:p>
    <w:p w:rsidR="00BC3A73" w:rsidRDefault="007A705F">
      <w:pPr>
        <w:pStyle w:val="ListParagraph"/>
        <w:numPr>
          <w:ilvl w:val="0"/>
          <w:numId w:val="6"/>
        </w:numPr>
        <w:tabs>
          <w:tab w:val="left" w:pos="479"/>
          <w:tab w:val="left" w:pos="480"/>
        </w:tabs>
        <w:spacing w:line="276" w:lineRule="auto"/>
        <w:ind w:left="480" w:right="266"/>
        <w:rPr>
          <w:sz w:val="24"/>
        </w:rPr>
      </w:pPr>
      <w:r>
        <w:rPr>
          <w:sz w:val="24"/>
        </w:rPr>
        <w:t>Do the goals align with the LEA’s long-term plan, pri</w:t>
      </w:r>
      <w:r>
        <w:rPr>
          <w:sz w:val="24"/>
        </w:rPr>
        <w:t>orities, achievement goals and/or logic model?</w:t>
      </w:r>
    </w:p>
    <w:p w:rsidR="00BC3A73" w:rsidRDefault="00BC3A73">
      <w:pPr>
        <w:pStyle w:val="BodyText"/>
        <w:spacing w:before="1"/>
        <w:rPr>
          <w:sz w:val="21"/>
        </w:rPr>
      </w:pPr>
    </w:p>
    <w:p w:rsidR="00BC3A73" w:rsidRDefault="007A705F">
      <w:pPr>
        <w:pStyle w:val="Heading2"/>
      </w:pPr>
      <w:r>
        <w:t>Step 5 Goal Setting Worksheet</w:t>
      </w:r>
    </w:p>
    <w:p w:rsidR="00BC3A73" w:rsidRDefault="00BC3A73">
      <w:pPr>
        <w:pStyle w:val="BodyText"/>
        <w:rPr>
          <w:b/>
          <w:sz w:val="14"/>
        </w:rPr>
      </w:pPr>
    </w:p>
    <w:tbl>
      <w:tblPr>
        <w:tblW w:w="0" w:type="auto"/>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left w:w="0" w:type="dxa"/>
          <w:right w:w="0" w:type="dxa"/>
        </w:tblCellMar>
        <w:tblLook w:val="01E0" w:firstRow="1" w:lastRow="1" w:firstColumn="1" w:lastColumn="1" w:noHBand="0" w:noVBand="0"/>
      </w:tblPr>
      <w:tblGrid>
        <w:gridCol w:w="3120"/>
        <w:gridCol w:w="3120"/>
        <w:gridCol w:w="3120"/>
      </w:tblGrid>
      <w:tr w:rsidR="00BC3A73">
        <w:trPr>
          <w:trHeight w:hRule="exact" w:val="708"/>
        </w:trPr>
        <w:tc>
          <w:tcPr>
            <w:tcW w:w="3120" w:type="dxa"/>
            <w:tcBorders>
              <w:top w:val="nil"/>
              <w:left w:val="nil"/>
              <w:right w:val="nil"/>
            </w:tcBorders>
            <w:shd w:val="clear" w:color="auto" w:fill="4472C4"/>
          </w:tcPr>
          <w:p w:rsidR="00BC3A73" w:rsidRDefault="00BC3A73">
            <w:pPr>
              <w:pStyle w:val="TableParagraph"/>
              <w:spacing w:before="4"/>
              <w:ind w:left="0"/>
              <w:rPr>
                <w:b/>
                <w:sz w:val="30"/>
              </w:rPr>
            </w:pPr>
          </w:p>
          <w:p w:rsidR="00BC3A73" w:rsidRDefault="007A705F">
            <w:pPr>
              <w:pStyle w:val="TableParagraph"/>
              <w:spacing w:before="0"/>
              <w:ind w:left="71"/>
              <w:rPr>
                <w:b/>
              </w:rPr>
            </w:pPr>
            <w:r>
              <w:rPr>
                <w:b/>
                <w:color w:val="FFFFFF"/>
              </w:rPr>
              <w:t>Equity Gap</w:t>
            </w:r>
          </w:p>
        </w:tc>
        <w:tc>
          <w:tcPr>
            <w:tcW w:w="3120" w:type="dxa"/>
            <w:tcBorders>
              <w:top w:val="nil"/>
              <w:left w:val="nil"/>
              <w:right w:val="nil"/>
            </w:tcBorders>
            <w:shd w:val="clear" w:color="auto" w:fill="4472C4"/>
          </w:tcPr>
          <w:p w:rsidR="00BC3A73" w:rsidRDefault="007A705F">
            <w:pPr>
              <w:pStyle w:val="TableParagraph"/>
              <w:spacing w:line="276" w:lineRule="auto"/>
              <w:ind w:left="71" w:right="267"/>
              <w:rPr>
                <w:b/>
              </w:rPr>
            </w:pPr>
            <w:r>
              <w:rPr>
                <w:b/>
                <w:color w:val="FFFFFF"/>
              </w:rPr>
              <w:t>Date by Which Differences in Rates Will Be Eliminated</w:t>
            </w:r>
          </w:p>
        </w:tc>
        <w:tc>
          <w:tcPr>
            <w:tcW w:w="3120" w:type="dxa"/>
            <w:tcBorders>
              <w:top w:val="nil"/>
              <w:left w:val="nil"/>
              <w:right w:val="nil"/>
            </w:tcBorders>
            <w:shd w:val="clear" w:color="auto" w:fill="4472C4"/>
          </w:tcPr>
          <w:p w:rsidR="00BC3A73" w:rsidRDefault="00BC3A73">
            <w:pPr>
              <w:pStyle w:val="TableParagraph"/>
              <w:spacing w:before="4"/>
              <w:ind w:left="0"/>
              <w:rPr>
                <w:b/>
                <w:sz w:val="30"/>
              </w:rPr>
            </w:pPr>
          </w:p>
          <w:p w:rsidR="00BC3A73" w:rsidRDefault="007A705F">
            <w:pPr>
              <w:pStyle w:val="TableParagraph"/>
              <w:spacing w:before="0"/>
              <w:ind w:left="71"/>
              <w:rPr>
                <w:b/>
              </w:rPr>
            </w:pPr>
            <w:r>
              <w:rPr>
                <w:b/>
                <w:color w:val="FFFFFF"/>
              </w:rPr>
              <w:t>Interim Targets</w:t>
            </w:r>
          </w:p>
        </w:tc>
      </w:tr>
      <w:tr w:rsidR="00BC3A73">
        <w:trPr>
          <w:trHeight w:hRule="exact" w:val="2172"/>
        </w:trPr>
        <w:tc>
          <w:tcPr>
            <w:tcW w:w="3120" w:type="dxa"/>
          </w:tcPr>
          <w:p w:rsidR="00BC3A73" w:rsidRDefault="007A705F">
            <w:pPr>
              <w:pStyle w:val="TableParagraph"/>
              <w:spacing w:before="60" w:line="276" w:lineRule="auto"/>
              <w:ind w:right="418"/>
              <w:rPr>
                <w:i/>
              </w:rPr>
            </w:pPr>
            <w:r>
              <w:rPr>
                <w:i/>
                <w:color w:val="818181"/>
              </w:rPr>
              <w:t>“Ineffective” gap in schools defined as low income and/or high minority</w:t>
            </w:r>
          </w:p>
        </w:tc>
        <w:tc>
          <w:tcPr>
            <w:tcW w:w="3120" w:type="dxa"/>
          </w:tcPr>
          <w:p w:rsidR="00BC3A73" w:rsidRDefault="007A705F">
            <w:pPr>
              <w:pStyle w:val="TableParagraph"/>
              <w:spacing w:before="60"/>
              <w:rPr>
                <w:i/>
              </w:rPr>
            </w:pPr>
            <w:r>
              <w:rPr>
                <w:i/>
                <w:color w:val="818181"/>
              </w:rPr>
              <w:t>2024-25 school year</w:t>
            </w:r>
          </w:p>
        </w:tc>
        <w:tc>
          <w:tcPr>
            <w:tcW w:w="3120" w:type="dxa"/>
          </w:tcPr>
          <w:p w:rsidR="00BC3A73" w:rsidRDefault="007A705F">
            <w:pPr>
              <w:pStyle w:val="TableParagraph"/>
              <w:spacing w:before="60" w:line="276" w:lineRule="auto"/>
              <w:ind w:right="110"/>
              <w:rPr>
                <w:i/>
              </w:rPr>
            </w:pPr>
            <w:r>
              <w:rPr>
                <w:i/>
                <w:color w:val="818181"/>
              </w:rPr>
              <w:t>The gaps of ineffective teachers across high-minority and/or low- income schools and their non- high-minority and non-low- income school counterparts will be reduced by at least half by the 2021-22 school year.</w:t>
            </w:r>
          </w:p>
        </w:tc>
      </w:tr>
      <w:tr w:rsidR="00BC3A73">
        <w:trPr>
          <w:trHeight w:hRule="exact" w:val="955"/>
        </w:trPr>
        <w:tc>
          <w:tcPr>
            <w:tcW w:w="3120" w:type="dxa"/>
          </w:tcPr>
          <w:p w:rsidR="00BC3A73" w:rsidRDefault="00BC3A73"/>
        </w:tc>
        <w:tc>
          <w:tcPr>
            <w:tcW w:w="3120" w:type="dxa"/>
          </w:tcPr>
          <w:p w:rsidR="00BC3A73" w:rsidRDefault="00BC3A73"/>
        </w:tc>
        <w:tc>
          <w:tcPr>
            <w:tcW w:w="3120" w:type="dxa"/>
          </w:tcPr>
          <w:p w:rsidR="00BC3A73" w:rsidRDefault="00BC3A73"/>
        </w:tc>
      </w:tr>
      <w:tr w:rsidR="00BC3A73">
        <w:trPr>
          <w:trHeight w:hRule="exact" w:val="936"/>
        </w:trPr>
        <w:tc>
          <w:tcPr>
            <w:tcW w:w="3120" w:type="dxa"/>
          </w:tcPr>
          <w:p w:rsidR="00BC3A73" w:rsidRDefault="00BC3A73"/>
        </w:tc>
        <w:tc>
          <w:tcPr>
            <w:tcW w:w="3120" w:type="dxa"/>
          </w:tcPr>
          <w:p w:rsidR="00BC3A73" w:rsidRDefault="00BC3A73"/>
        </w:tc>
        <w:tc>
          <w:tcPr>
            <w:tcW w:w="3120" w:type="dxa"/>
          </w:tcPr>
          <w:p w:rsidR="00BC3A73" w:rsidRDefault="00BC3A73"/>
        </w:tc>
      </w:tr>
    </w:tbl>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BC3A73">
      <w:pPr>
        <w:pStyle w:val="BodyText"/>
        <w:rPr>
          <w:b/>
          <w:sz w:val="26"/>
        </w:rPr>
      </w:pPr>
    </w:p>
    <w:p w:rsidR="00BC3A73" w:rsidRDefault="007A705F">
      <w:pPr>
        <w:spacing w:before="196"/>
        <w:ind w:left="120"/>
        <w:rPr>
          <w:rFonts w:ascii="Calibri" w:hAnsi="Calibri"/>
          <w:sz w:val="20"/>
        </w:rPr>
      </w:pPr>
      <w:r>
        <w:rPr>
          <w:rFonts w:ascii="Calibri" w:hAnsi="Calibri"/>
          <w:sz w:val="20"/>
        </w:rPr>
        <w:t>DRAFT FOR DISCUSSION — DO NOT CITE OR DISTRIBUTE</w:t>
      </w:r>
    </w:p>
    <w:sectPr w:rsidR="00BC3A73">
      <w:headerReference w:type="default" r:id="rId18"/>
      <w:footerReference w:type="default" r:id="rId19"/>
      <w:pgSz w:w="12240" w:h="15840"/>
      <w:pgMar w:top="720" w:right="1300" w:bottom="1240" w:left="132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A705F">
      <w:r>
        <w:separator/>
      </w:r>
    </w:p>
  </w:endnote>
  <w:endnote w:type="continuationSeparator" w:id="0">
    <w:p w:rsidR="00000000" w:rsidRDefault="007A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7A705F">
    <w:pPr>
      <w:pStyle w:val="BodyText"/>
      <w:spacing w:line="14" w:lineRule="auto"/>
      <w:rPr>
        <w:sz w:val="20"/>
      </w:rPr>
    </w:pPr>
    <w:r>
      <w:rPr>
        <w:noProof/>
      </w:rPr>
      <mc:AlternateContent>
        <mc:Choice Requires="wps">
          <w:drawing>
            <wp:anchor distT="0" distB="0" distL="114300" distR="114300" simplePos="0" relativeHeight="503301008" behindDoc="1" locked="0" layoutInCell="1" allowOverlap="1">
              <wp:simplePos x="0" y="0"/>
              <wp:positionH relativeFrom="page">
                <wp:posOffset>901700</wp:posOffset>
              </wp:positionH>
              <wp:positionV relativeFrom="page">
                <wp:posOffset>9077960</wp:posOffset>
              </wp:positionV>
              <wp:extent cx="5774055" cy="509270"/>
              <wp:effectExtent l="0" t="635" r="1270" b="444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hAnsi="Calibri"/>
                              <w:sz w:val="20"/>
                            </w:rPr>
                          </w:pPr>
                          <w:r>
                            <w:rPr>
                              <w:rFonts w:ascii="Calibri" w:hAnsi="Calibri"/>
                              <w:sz w:val="20"/>
                            </w:rPr>
                            <w:t>DRAFT FOR DISCUSSION — DO NOT CITE OR DISTRIBUTE</w:t>
                          </w:r>
                        </w:p>
                        <w:p w:rsidR="00BC3A73" w:rsidRDefault="007A705F">
                          <w:pPr>
                            <w:spacing w:before="36" w:line="276" w:lineRule="auto"/>
                            <w:ind w:left="20"/>
                            <w:rPr>
                              <w:rFonts w:ascii="Calibri" w:hAnsi="Calibri"/>
                              <w:sz w:val="20"/>
                            </w:rPr>
                          </w:pPr>
                          <w:r>
                            <w:rPr>
                              <w:rFonts w:ascii="Calibri" w:hAnsi="Calibri"/>
                              <w:sz w:val="20"/>
                            </w:rPr>
                            <w:t>Section 4: Developing a Monitoring Plan: Optional Tool for Completing Section 4 of OSSE’s 2018 LEA Equity Plan Template and Related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71pt;margin-top:714.8pt;width:454.65pt;height:40.1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iBsAIAAKs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" filled="f" stroked="f">
              <v:textbox inset="0,0,0,0">
                <w:txbxContent>
                  <w:p w:rsidR="00BC3A73" w:rsidRDefault="007A705F">
                    <w:pPr>
                      <w:spacing w:line="224" w:lineRule="exact"/>
                      <w:ind w:left="20"/>
                      <w:rPr>
                        <w:rFonts w:ascii="Calibri" w:hAnsi="Calibri"/>
                        <w:sz w:val="20"/>
                      </w:rPr>
                    </w:pPr>
                    <w:r>
                      <w:rPr>
                        <w:rFonts w:ascii="Calibri" w:hAnsi="Calibri"/>
                        <w:sz w:val="20"/>
                      </w:rPr>
                      <w:t>DRAFT FOR DISCUSSION — DO NOT CITE OR DISTRIBUTE</w:t>
                    </w:r>
                  </w:p>
                  <w:p w:rsidR="00BC3A73" w:rsidRDefault="007A705F">
                    <w:pPr>
                      <w:spacing w:before="36" w:line="276" w:lineRule="auto"/>
                      <w:ind w:left="20"/>
                      <w:rPr>
                        <w:rFonts w:ascii="Calibri" w:hAnsi="Calibri"/>
                        <w:sz w:val="20"/>
                      </w:rPr>
                    </w:pPr>
                    <w:r>
                      <w:rPr>
                        <w:rFonts w:ascii="Calibri" w:hAnsi="Calibri"/>
                        <w:sz w:val="20"/>
                      </w:rPr>
                      <w:t>Section 4: Developing a Monitoring Plan: Optional Tool for Completing Section 4 of OSSE’s 2018 LEA Equity Plan Template and Related Guidance</w:t>
                    </w:r>
                  </w:p>
                </w:txbxContent>
              </v:textbox>
              <w10:wrap anchorx="page" anchory="page"/>
            </v:shape>
          </w:pict>
        </mc:Fallback>
      </mc:AlternateContent>
    </w:r>
    <w:r>
      <w:rPr>
        <w:noProof/>
      </w:rPr>
      <mc:AlternateContent>
        <mc:Choice Requires="wps">
          <w:drawing>
            <wp:anchor distT="0" distB="0" distL="114300" distR="114300" simplePos="0" relativeHeight="503301032" behindDoc="1" locked="0" layoutInCell="1" allowOverlap="1">
              <wp:simplePos x="0" y="0"/>
              <wp:positionH relativeFrom="page">
                <wp:posOffset>6768465</wp:posOffset>
              </wp:positionH>
              <wp:positionV relativeFrom="page">
                <wp:posOffset>9434195</wp:posOffset>
              </wp:positionV>
              <wp:extent cx="115570" cy="153035"/>
              <wp:effectExtent l="0" t="4445" r="254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40"/>
                            <w:rPr>
                              <w:rFonts w:ascii="Calibri"/>
                              <w:sz w:val="20"/>
                            </w:rPr>
                          </w:pPr>
                          <w:r>
                            <w:fldChar w:fldCharType="begin"/>
                          </w:r>
                          <w:r>
                            <w:rPr>
                              <w:rFonts w:ascii="Calibri"/>
                              <w:sz w:val="20"/>
                            </w:rPr>
                            <w:instrText xml:space="preserve"> PAGE </w:instrText>
                          </w:r>
                          <w:r>
                            <w:fldChar w:fldCharType="separate"/>
                          </w:r>
                          <w:r>
                            <w:rPr>
                              <w:rFonts w:ascii="Calibri"/>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32.95pt;margin-top:742.85pt;width:9.1pt;height:12.05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eRrg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" filled="f" stroked="f">
              <v:textbox inset="0,0,0,0">
                <w:txbxContent>
                  <w:p w:rsidR="00BC3A73" w:rsidRDefault="007A705F">
                    <w:pPr>
                      <w:spacing w:line="224" w:lineRule="exact"/>
                      <w:ind w:left="40"/>
                      <w:rPr>
                        <w:rFonts w:ascii="Calibri"/>
                        <w:sz w:val="20"/>
                      </w:rPr>
                    </w:pPr>
                    <w:r>
                      <w:fldChar w:fldCharType="begin"/>
                    </w:r>
                    <w:r>
                      <w:rPr>
                        <w:rFonts w:ascii="Calibri"/>
                        <w:sz w:val="20"/>
                      </w:rPr>
                      <w:instrText xml:space="preserve"> PAGE </w:instrText>
                    </w:r>
                    <w:r>
                      <w:fldChar w:fldCharType="separate"/>
                    </w:r>
                    <w:r>
                      <w:rPr>
                        <w:rFonts w:ascii="Calibri"/>
                        <w:noProof/>
                        <w:sz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7A705F">
    <w:pPr>
      <w:pStyle w:val="BodyText"/>
      <w:spacing w:line="14" w:lineRule="auto"/>
      <w:rPr>
        <w:sz w:val="20"/>
      </w:rPr>
    </w:pPr>
    <w:r>
      <w:rPr>
        <w:noProof/>
      </w:rPr>
      <mc:AlternateContent>
        <mc:Choice Requires="wps">
          <w:drawing>
            <wp:anchor distT="0" distB="0" distL="114300" distR="114300" simplePos="0" relativeHeight="503301056" behindDoc="1" locked="0" layoutInCell="1" allowOverlap="1">
              <wp:simplePos x="0" y="0"/>
              <wp:positionH relativeFrom="page">
                <wp:posOffset>901700</wp:posOffset>
              </wp:positionH>
              <wp:positionV relativeFrom="page">
                <wp:posOffset>6970395</wp:posOffset>
              </wp:positionV>
              <wp:extent cx="7454900" cy="331470"/>
              <wp:effectExtent l="0" t="0" r="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hAnsi="Calibri"/>
                              <w:sz w:val="20"/>
                            </w:rPr>
                          </w:pPr>
                          <w:r>
                            <w:rPr>
                              <w:rFonts w:ascii="Calibri" w:hAnsi="Calibri"/>
                              <w:sz w:val="20"/>
                            </w:rPr>
                            <w:t>DRAFT FOR DISCUSSION — DO NOT CITE OR DISTRIBUTE</w:t>
                          </w:r>
                        </w:p>
                        <w:p w:rsidR="00BC3A73" w:rsidRDefault="007A705F">
                          <w:pPr>
                            <w:spacing w:before="36"/>
                            <w:ind w:left="20"/>
                            <w:rPr>
                              <w:rFonts w:ascii="Calibri" w:hAnsi="Calibri"/>
                              <w:sz w:val="20"/>
                            </w:rPr>
                          </w:pPr>
                          <w:r>
                            <w:rPr>
                              <w:rFonts w:ascii="Calibri" w:hAnsi="Calibri"/>
                              <w:sz w:val="20"/>
                            </w:rPr>
                            <w:t>Section 4: Developing a Monitoring Plan: Optional Tool for Completing Section 4 of OSSE’s 2018 LEA Equity Plan Template and Related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1pt;margin-top:548.85pt;width:587pt;height:26.1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wHsgIAALE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" filled="f" stroked="f">
              <v:textbox inset="0,0,0,0">
                <w:txbxContent>
                  <w:p w:rsidR="00BC3A73" w:rsidRDefault="007A705F">
                    <w:pPr>
                      <w:spacing w:line="224" w:lineRule="exact"/>
                      <w:ind w:left="20"/>
                      <w:rPr>
                        <w:rFonts w:ascii="Calibri" w:hAnsi="Calibri"/>
                        <w:sz w:val="20"/>
                      </w:rPr>
                    </w:pPr>
                    <w:r>
                      <w:rPr>
                        <w:rFonts w:ascii="Calibri" w:hAnsi="Calibri"/>
                        <w:sz w:val="20"/>
                      </w:rPr>
                      <w:t>DRAFT FOR DISCUSSION — DO NOT CITE OR DISTRIBUTE</w:t>
                    </w:r>
                  </w:p>
                  <w:p w:rsidR="00BC3A73" w:rsidRDefault="007A705F">
                    <w:pPr>
                      <w:spacing w:before="36"/>
                      <w:ind w:left="20"/>
                      <w:rPr>
                        <w:rFonts w:ascii="Calibri" w:hAnsi="Calibri"/>
                        <w:sz w:val="20"/>
                      </w:rPr>
                    </w:pPr>
                    <w:r>
                      <w:rPr>
                        <w:rFonts w:ascii="Calibri" w:hAnsi="Calibri"/>
                        <w:sz w:val="20"/>
                      </w:rPr>
                      <w:t>Section 4: Developing a Monitoring Plan: Optional Tool for Completing Section 4 of OSSE’s 2018 LEA Equity Plan Template and Related Guidance</w:t>
                    </w:r>
                  </w:p>
                </w:txbxContent>
              </v:textbox>
              <w10:wrap anchorx="page" anchory="page"/>
            </v:shape>
          </w:pict>
        </mc:Fallback>
      </mc:AlternateContent>
    </w:r>
    <w:r>
      <w:rPr>
        <w:noProof/>
      </w:rPr>
      <mc:AlternateContent>
        <mc:Choice Requires="wps">
          <w:drawing>
            <wp:anchor distT="0" distB="0" distL="114300" distR="114300" simplePos="0" relativeHeight="503301080" behindDoc="1" locked="0" layoutInCell="1" allowOverlap="1">
              <wp:simplePos x="0" y="0"/>
              <wp:positionH relativeFrom="page">
                <wp:posOffset>9067165</wp:posOffset>
              </wp:positionH>
              <wp:positionV relativeFrom="page">
                <wp:posOffset>7148195</wp:posOffset>
              </wp:positionV>
              <wp:extent cx="90170" cy="153035"/>
              <wp:effectExtent l="0" t="4445" r="0" b="44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sz w:val="20"/>
                            </w:rPr>
                          </w:pPr>
                          <w:r>
                            <w:rPr>
                              <w:rFonts w:ascii="Calibri"/>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13.95pt;margin-top:562.85pt;width:7.1pt;height:12.0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DrgIAAK8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" filled="f" stroked="f">
              <v:textbox inset="0,0,0,0">
                <w:txbxContent>
                  <w:p w:rsidR="00BC3A73" w:rsidRDefault="007A705F">
                    <w:pPr>
                      <w:spacing w:line="224" w:lineRule="exact"/>
                      <w:ind w:left="20"/>
                      <w:rPr>
                        <w:rFonts w:ascii="Calibri"/>
                        <w:sz w:val="20"/>
                      </w:rPr>
                    </w:pPr>
                    <w:r>
                      <w:rPr>
                        <w:rFonts w:ascii="Calibri"/>
                        <w:sz w:val="20"/>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7A705F">
    <w:pPr>
      <w:pStyle w:val="BodyText"/>
      <w:spacing w:line="14" w:lineRule="auto"/>
      <w:rPr>
        <w:sz w:val="20"/>
      </w:rPr>
    </w:pPr>
    <w:r>
      <w:rPr>
        <w:noProof/>
      </w:rPr>
      <mc:AlternateContent>
        <mc:Choice Requires="wps">
          <w:drawing>
            <wp:anchor distT="0" distB="0" distL="114300" distR="114300" simplePos="0" relativeHeight="503301104" behindDoc="1" locked="0" layoutInCell="1" allowOverlap="1">
              <wp:simplePos x="0" y="0"/>
              <wp:positionH relativeFrom="page">
                <wp:posOffset>901700</wp:posOffset>
              </wp:positionH>
              <wp:positionV relativeFrom="page">
                <wp:posOffset>9255760</wp:posOffset>
              </wp:positionV>
              <wp:extent cx="5774055" cy="331470"/>
              <wp:effectExtent l="0" t="0" r="1270" b="44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hAnsi="Calibri"/>
                              <w:sz w:val="20"/>
                            </w:rPr>
                          </w:pPr>
                          <w:r>
                            <w:rPr>
                              <w:rFonts w:ascii="Calibri" w:hAnsi="Calibri"/>
                              <w:sz w:val="20"/>
                            </w:rPr>
                            <w:t>Section 4: Developing a Monitoring Plan: Optional Tool for Completing Section 4 of OSSE’s 2018 LEA Equity Plan</w:t>
                          </w:r>
                        </w:p>
                        <w:p w:rsidR="00BC3A73" w:rsidRDefault="007A705F">
                          <w:pPr>
                            <w:spacing w:before="36"/>
                            <w:ind w:left="20"/>
                            <w:rPr>
                              <w:rFonts w:ascii="Calibri"/>
                              <w:sz w:val="20"/>
                            </w:rPr>
                          </w:pPr>
                          <w:r>
                            <w:rPr>
                              <w:rFonts w:ascii="Calibri"/>
                              <w:sz w:val="20"/>
                            </w:rPr>
                            <w:t>Template and Related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71pt;margin-top:728.8pt;width:454.65pt;height:26.1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VStAIAALE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" filled="f" stroked="f">
              <v:textbox inset="0,0,0,0">
                <w:txbxContent>
                  <w:p w:rsidR="00BC3A73" w:rsidRDefault="007A705F">
                    <w:pPr>
                      <w:spacing w:line="224" w:lineRule="exact"/>
                      <w:ind w:left="20"/>
                      <w:rPr>
                        <w:rFonts w:ascii="Calibri" w:hAnsi="Calibri"/>
                        <w:sz w:val="20"/>
                      </w:rPr>
                    </w:pPr>
                    <w:r>
                      <w:rPr>
                        <w:rFonts w:ascii="Calibri" w:hAnsi="Calibri"/>
                        <w:sz w:val="20"/>
                      </w:rPr>
                      <w:t>Section 4: Developing a Monitoring Plan: Optional Tool for Completing Section 4 of OSSE’s 2018 LEA Equity Plan</w:t>
                    </w:r>
                  </w:p>
                  <w:p w:rsidR="00BC3A73" w:rsidRDefault="007A705F">
                    <w:pPr>
                      <w:spacing w:before="36"/>
                      <w:ind w:left="20"/>
                      <w:rPr>
                        <w:rFonts w:ascii="Calibri"/>
                        <w:sz w:val="20"/>
                      </w:rPr>
                    </w:pPr>
                    <w:r>
                      <w:rPr>
                        <w:rFonts w:ascii="Calibri"/>
                        <w:sz w:val="20"/>
                      </w:rPr>
                      <w:t>Template and Related Guidance</w:t>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simplePos x="0" y="0"/>
              <wp:positionH relativeFrom="page">
                <wp:posOffset>6716395</wp:posOffset>
              </wp:positionH>
              <wp:positionV relativeFrom="page">
                <wp:posOffset>9434195</wp:posOffset>
              </wp:positionV>
              <wp:extent cx="154940" cy="153035"/>
              <wp:effectExtent l="1270" t="4445"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sz w:val="20"/>
                            </w:rPr>
                          </w:pPr>
                          <w:r>
                            <w:rPr>
                              <w:rFonts w:ascii="Calibri"/>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28.85pt;margin-top:742.85pt;width:12.2pt;height:12.0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" filled="f" stroked="f">
              <v:textbox inset="0,0,0,0">
                <w:txbxContent>
                  <w:p w:rsidR="00BC3A73" w:rsidRDefault="007A705F">
                    <w:pPr>
                      <w:spacing w:line="224" w:lineRule="exact"/>
                      <w:ind w:left="20"/>
                      <w:rPr>
                        <w:rFonts w:ascii="Calibri"/>
                        <w:sz w:val="20"/>
                      </w:rPr>
                    </w:pPr>
                    <w:r>
                      <w:rPr>
                        <w:rFonts w:ascii="Calibri"/>
                        <w:sz w:val="20"/>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7A705F">
    <w:pPr>
      <w:pStyle w:val="BodyText"/>
      <w:spacing w:line="14" w:lineRule="auto"/>
      <w:rPr>
        <w:sz w:val="20"/>
      </w:rPr>
    </w:pPr>
    <w:r>
      <w:rPr>
        <w:noProof/>
      </w:rPr>
      <mc:AlternateContent>
        <mc:Choice Requires="wps">
          <w:drawing>
            <wp:anchor distT="0" distB="0" distL="114300" distR="114300" simplePos="0" relativeHeight="503301152" behindDoc="1" locked="0" layoutInCell="1" allowOverlap="1">
              <wp:simplePos x="0" y="0"/>
              <wp:positionH relativeFrom="page">
                <wp:posOffset>901700</wp:posOffset>
              </wp:positionH>
              <wp:positionV relativeFrom="page">
                <wp:posOffset>6970395</wp:posOffset>
              </wp:positionV>
              <wp:extent cx="7454900" cy="331470"/>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hAnsi="Calibri"/>
                              <w:sz w:val="20"/>
                            </w:rPr>
                          </w:pPr>
                          <w:r>
                            <w:rPr>
                              <w:rFonts w:ascii="Calibri" w:hAnsi="Calibri"/>
                              <w:sz w:val="20"/>
                            </w:rPr>
                            <w:t>DRAFT FOR DISCUSSION — DO NOT CITE OR DISTRIBUTE</w:t>
                          </w:r>
                        </w:p>
                        <w:p w:rsidR="00BC3A73" w:rsidRDefault="007A705F">
                          <w:pPr>
                            <w:spacing w:before="36"/>
                            <w:ind w:left="20"/>
                            <w:rPr>
                              <w:rFonts w:ascii="Calibri" w:hAnsi="Calibri"/>
                              <w:sz w:val="20"/>
                            </w:rPr>
                          </w:pPr>
                          <w:r>
                            <w:rPr>
                              <w:rFonts w:ascii="Calibri" w:hAnsi="Calibri"/>
                              <w:sz w:val="20"/>
                            </w:rPr>
                            <w:t>Section 4: Developing a Monitoring Plan: Optional Tool for Completing Section 4 of OSSE’s 2018 LEA Equity Plan Template and Related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71pt;margin-top:548.85pt;width:587pt;height:26.1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" filled="f" stroked="f">
              <v:textbox inset="0,0,0,0">
                <w:txbxContent>
                  <w:p w:rsidR="00BC3A73" w:rsidRDefault="007A705F">
                    <w:pPr>
                      <w:spacing w:line="224" w:lineRule="exact"/>
                      <w:ind w:left="20"/>
                      <w:rPr>
                        <w:rFonts w:ascii="Calibri" w:hAnsi="Calibri"/>
                        <w:sz w:val="20"/>
                      </w:rPr>
                    </w:pPr>
                    <w:r>
                      <w:rPr>
                        <w:rFonts w:ascii="Calibri" w:hAnsi="Calibri"/>
                        <w:sz w:val="20"/>
                      </w:rPr>
                      <w:t>DRAFT FOR DISCUSSION — DO NOT CITE OR DISTRIBUTE</w:t>
                    </w:r>
                  </w:p>
                  <w:p w:rsidR="00BC3A73" w:rsidRDefault="007A705F">
                    <w:pPr>
                      <w:spacing w:before="36"/>
                      <w:ind w:left="20"/>
                      <w:rPr>
                        <w:rFonts w:ascii="Calibri" w:hAnsi="Calibri"/>
                        <w:sz w:val="20"/>
                      </w:rPr>
                    </w:pPr>
                    <w:r>
                      <w:rPr>
                        <w:rFonts w:ascii="Calibri" w:hAnsi="Calibri"/>
                        <w:sz w:val="20"/>
                      </w:rPr>
                      <w:t>Section 4: Developing a Monitoring Plan: Optional Tool for Completing Section 4 of OSSE’s 2018 LEA Equity Plan Template and Related Guidance</w:t>
                    </w:r>
                  </w:p>
                </w:txbxContent>
              </v:textbox>
              <w10:wrap anchorx="page" anchory="page"/>
            </v:shape>
          </w:pict>
        </mc:Fallback>
      </mc:AlternateContent>
    </w:r>
    <w:r>
      <w:rPr>
        <w:noProof/>
      </w:rPr>
      <mc:AlternateContent>
        <mc:Choice Requires="wps">
          <w:drawing>
            <wp:anchor distT="0" distB="0" distL="114300" distR="114300" simplePos="0" relativeHeight="503301176" behindDoc="1" locked="0" layoutInCell="1" allowOverlap="1">
              <wp:simplePos x="0" y="0"/>
              <wp:positionH relativeFrom="page">
                <wp:posOffset>9002395</wp:posOffset>
              </wp:positionH>
              <wp:positionV relativeFrom="page">
                <wp:posOffset>7148195</wp:posOffset>
              </wp:positionV>
              <wp:extent cx="154940" cy="153035"/>
              <wp:effectExtent l="1270" t="4445"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sz w:val="20"/>
                            </w:rPr>
                          </w:pPr>
                          <w:r>
                            <w:rPr>
                              <w:rFonts w:ascii="Calibri"/>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08.85pt;margin-top:562.85pt;width:12.2pt;height:12.0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bgrgIAAK8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" filled="f" stroked="f">
              <v:textbox inset="0,0,0,0">
                <w:txbxContent>
                  <w:p w:rsidR="00BC3A73" w:rsidRDefault="007A705F">
                    <w:pPr>
                      <w:spacing w:line="224" w:lineRule="exact"/>
                      <w:ind w:left="20"/>
                      <w:rPr>
                        <w:rFonts w:ascii="Calibri"/>
                        <w:sz w:val="20"/>
                      </w:rPr>
                    </w:pPr>
                    <w:r>
                      <w:rPr>
                        <w:rFonts w:ascii="Calibri"/>
                        <w:sz w:val="20"/>
                      </w:rPr>
                      <w:t>11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7A705F">
    <w:pPr>
      <w:pStyle w:val="BodyText"/>
      <w:spacing w:line="14" w:lineRule="auto"/>
      <w:rPr>
        <w:sz w:val="20"/>
      </w:rPr>
    </w:pPr>
    <w:r>
      <w:rPr>
        <w:noProof/>
      </w:rPr>
      <mc:AlternateContent>
        <mc:Choice Requires="wps">
          <w:drawing>
            <wp:anchor distT="0" distB="0" distL="114300" distR="114300" simplePos="0" relativeHeight="503301200" behindDoc="1" locked="0" layoutInCell="1" allowOverlap="1">
              <wp:simplePos x="0" y="0"/>
              <wp:positionH relativeFrom="page">
                <wp:posOffset>901700</wp:posOffset>
              </wp:positionH>
              <wp:positionV relativeFrom="page">
                <wp:posOffset>9255760</wp:posOffset>
              </wp:positionV>
              <wp:extent cx="5774055" cy="331470"/>
              <wp:effectExtent l="0" t="0"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hAnsi="Calibri"/>
                              <w:sz w:val="20"/>
                            </w:rPr>
                          </w:pPr>
                          <w:r>
                            <w:rPr>
                              <w:rFonts w:ascii="Calibri" w:hAnsi="Calibri"/>
                              <w:sz w:val="20"/>
                            </w:rPr>
                            <w:t>Section 4: Developing a Monitoring Plan: Optional Tool for Completing Section 4 of OSSE’s 2018 LEA Equity Plan</w:t>
                          </w:r>
                        </w:p>
                        <w:p w:rsidR="00BC3A73" w:rsidRDefault="007A705F">
                          <w:pPr>
                            <w:spacing w:before="36"/>
                            <w:ind w:left="20"/>
                            <w:rPr>
                              <w:rFonts w:ascii="Calibri"/>
                              <w:sz w:val="20"/>
                            </w:rPr>
                          </w:pPr>
                          <w:r>
                            <w:rPr>
                              <w:rFonts w:ascii="Calibri"/>
                              <w:sz w:val="20"/>
                            </w:rPr>
                            <w:t>Template and Related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71pt;margin-top:728.8pt;width:454.65pt;height:26.1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7StAIAALA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" filled="f" stroked="f">
              <v:textbox inset="0,0,0,0">
                <w:txbxContent>
                  <w:p w:rsidR="00BC3A73" w:rsidRDefault="007A705F">
                    <w:pPr>
                      <w:spacing w:line="224" w:lineRule="exact"/>
                      <w:ind w:left="20"/>
                      <w:rPr>
                        <w:rFonts w:ascii="Calibri" w:hAnsi="Calibri"/>
                        <w:sz w:val="20"/>
                      </w:rPr>
                    </w:pPr>
                    <w:r>
                      <w:rPr>
                        <w:rFonts w:ascii="Calibri" w:hAnsi="Calibri"/>
                        <w:sz w:val="20"/>
                      </w:rPr>
                      <w:t>Section 4: Developing a Monitoring Plan: Optional Tool for Completing Section 4 of OSSE’s 2018 LEA Equity Plan</w:t>
                    </w:r>
                  </w:p>
                  <w:p w:rsidR="00BC3A73" w:rsidRDefault="007A705F">
                    <w:pPr>
                      <w:spacing w:before="36"/>
                      <w:ind w:left="20"/>
                      <w:rPr>
                        <w:rFonts w:ascii="Calibri"/>
                        <w:sz w:val="20"/>
                      </w:rPr>
                    </w:pPr>
                    <w:r>
                      <w:rPr>
                        <w:rFonts w:ascii="Calibri"/>
                        <w:sz w:val="20"/>
                      </w:rPr>
                      <w:t>Template and Related Guidance</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simplePos x="0" y="0"/>
              <wp:positionH relativeFrom="page">
                <wp:posOffset>6716395</wp:posOffset>
              </wp:positionH>
              <wp:positionV relativeFrom="page">
                <wp:posOffset>9434195</wp:posOffset>
              </wp:positionV>
              <wp:extent cx="154940" cy="153035"/>
              <wp:effectExtent l="1270" t="444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73" w:rsidRDefault="007A705F">
                          <w:pPr>
                            <w:spacing w:line="224" w:lineRule="exact"/>
                            <w:ind w:left="20"/>
                            <w:rPr>
                              <w:rFonts w:ascii="Calibri"/>
                              <w:sz w:val="20"/>
                            </w:rPr>
                          </w:pPr>
                          <w:r>
                            <w:rPr>
                              <w:rFonts w:ascii="Calibri"/>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28.85pt;margin-top:742.85pt;width:12.2pt;height:12.0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sZrgIAAK8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" filled="f" stroked="f">
              <v:textbox inset="0,0,0,0">
                <w:txbxContent>
                  <w:p w:rsidR="00BC3A73" w:rsidRDefault="007A705F">
                    <w:pPr>
                      <w:spacing w:line="224" w:lineRule="exact"/>
                      <w:ind w:left="20"/>
                      <w:rPr>
                        <w:rFonts w:ascii="Calibri"/>
                        <w:sz w:val="20"/>
                      </w:rPr>
                    </w:pPr>
                    <w:r>
                      <w:rPr>
                        <w:rFonts w:ascii="Calibri"/>
                        <w:sz w:val="20"/>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A705F">
      <w:r>
        <w:separator/>
      </w:r>
    </w:p>
  </w:footnote>
  <w:footnote w:type="continuationSeparator" w:id="0">
    <w:p w:rsidR="00000000" w:rsidRDefault="007A7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7A705F">
    <w:pPr>
      <w:pStyle w:val="BodyText"/>
      <w:spacing w:line="14" w:lineRule="auto"/>
      <w:rPr>
        <w:sz w:val="20"/>
      </w:rPr>
    </w:pPr>
    <w:r>
      <w:rPr>
        <w:noProof/>
      </w:rPr>
      <w:drawing>
        <wp:anchor distT="0" distB="0" distL="0" distR="0" simplePos="0" relativeHeight="268419959" behindDoc="1" locked="0" layoutInCell="1" allowOverlap="1">
          <wp:simplePos x="0" y="0"/>
          <wp:positionH relativeFrom="page">
            <wp:posOffset>2299652</wp:posOffset>
          </wp:positionH>
          <wp:positionV relativeFrom="page">
            <wp:posOffset>457200</wp:posOffset>
          </wp:positionV>
          <wp:extent cx="3170928" cy="667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70928" cy="66738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BC3A73">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BC3A73">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BC3A73">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73" w:rsidRDefault="00BC3A7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090C"/>
    <w:multiLevelType w:val="hybridMultilevel"/>
    <w:tmpl w:val="A61A9F9E"/>
    <w:lvl w:ilvl="0" w:tplc="E7C4D8FC">
      <w:numFmt w:val="bullet"/>
      <w:lvlText w:val="•"/>
      <w:lvlJc w:val="left"/>
      <w:pPr>
        <w:ind w:left="520" w:hanging="360"/>
      </w:pPr>
      <w:rPr>
        <w:rFonts w:ascii="Times New Roman" w:eastAsia="Times New Roman" w:hAnsi="Times New Roman" w:cs="Times New Roman" w:hint="default"/>
        <w:color w:val="1E4E79"/>
        <w:w w:val="99"/>
        <w:sz w:val="24"/>
        <w:szCs w:val="24"/>
      </w:rPr>
    </w:lvl>
    <w:lvl w:ilvl="1" w:tplc="DD468626">
      <w:numFmt w:val="bullet"/>
      <w:lvlText w:val="•"/>
      <w:lvlJc w:val="left"/>
      <w:pPr>
        <w:ind w:left="1432" w:hanging="360"/>
      </w:pPr>
      <w:rPr>
        <w:rFonts w:hint="default"/>
      </w:rPr>
    </w:lvl>
    <w:lvl w:ilvl="2" w:tplc="CC0EB6F0">
      <w:numFmt w:val="bullet"/>
      <w:lvlText w:val="•"/>
      <w:lvlJc w:val="left"/>
      <w:pPr>
        <w:ind w:left="2344" w:hanging="360"/>
      </w:pPr>
      <w:rPr>
        <w:rFonts w:hint="default"/>
      </w:rPr>
    </w:lvl>
    <w:lvl w:ilvl="3" w:tplc="C110F930">
      <w:numFmt w:val="bullet"/>
      <w:lvlText w:val="•"/>
      <w:lvlJc w:val="left"/>
      <w:pPr>
        <w:ind w:left="3256" w:hanging="360"/>
      </w:pPr>
      <w:rPr>
        <w:rFonts w:hint="default"/>
      </w:rPr>
    </w:lvl>
    <w:lvl w:ilvl="4" w:tplc="2C229216">
      <w:numFmt w:val="bullet"/>
      <w:lvlText w:val="•"/>
      <w:lvlJc w:val="left"/>
      <w:pPr>
        <w:ind w:left="4168" w:hanging="360"/>
      </w:pPr>
      <w:rPr>
        <w:rFonts w:hint="default"/>
      </w:rPr>
    </w:lvl>
    <w:lvl w:ilvl="5" w:tplc="03E01956">
      <w:numFmt w:val="bullet"/>
      <w:lvlText w:val="•"/>
      <w:lvlJc w:val="left"/>
      <w:pPr>
        <w:ind w:left="5080" w:hanging="360"/>
      </w:pPr>
      <w:rPr>
        <w:rFonts w:hint="default"/>
      </w:rPr>
    </w:lvl>
    <w:lvl w:ilvl="6" w:tplc="51242946">
      <w:numFmt w:val="bullet"/>
      <w:lvlText w:val="•"/>
      <w:lvlJc w:val="left"/>
      <w:pPr>
        <w:ind w:left="5992" w:hanging="360"/>
      </w:pPr>
      <w:rPr>
        <w:rFonts w:hint="default"/>
      </w:rPr>
    </w:lvl>
    <w:lvl w:ilvl="7" w:tplc="ABB6F1F8">
      <w:numFmt w:val="bullet"/>
      <w:lvlText w:val="•"/>
      <w:lvlJc w:val="left"/>
      <w:pPr>
        <w:ind w:left="6904" w:hanging="360"/>
      </w:pPr>
      <w:rPr>
        <w:rFonts w:hint="default"/>
      </w:rPr>
    </w:lvl>
    <w:lvl w:ilvl="8" w:tplc="3C3C486E">
      <w:numFmt w:val="bullet"/>
      <w:lvlText w:val="•"/>
      <w:lvlJc w:val="left"/>
      <w:pPr>
        <w:ind w:left="7816" w:hanging="360"/>
      </w:pPr>
      <w:rPr>
        <w:rFonts w:hint="default"/>
      </w:rPr>
    </w:lvl>
  </w:abstractNum>
  <w:abstractNum w:abstractNumId="1" w15:restartNumberingAfterBreak="0">
    <w:nsid w:val="18313705"/>
    <w:multiLevelType w:val="hybridMultilevel"/>
    <w:tmpl w:val="1282544C"/>
    <w:lvl w:ilvl="0" w:tplc="5402227A">
      <w:numFmt w:val="bullet"/>
      <w:lvlText w:val=""/>
      <w:lvlJc w:val="left"/>
      <w:pPr>
        <w:ind w:left="450" w:hanging="360"/>
      </w:pPr>
      <w:rPr>
        <w:rFonts w:ascii="Wingdings" w:eastAsia="Wingdings" w:hAnsi="Wingdings" w:cs="Wingdings" w:hint="default"/>
        <w:color w:val="5B9BD5"/>
        <w:w w:val="99"/>
        <w:sz w:val="24"/>
        <w:szCs w:val="24"/>
      </w:rPr>
    </w:lvl>
    <w:lvl w:ilvl="1" w:tplc="E7A4FF52">
      <w:numFmt w:val="bullet"/>
      <w:lvlText w:val="•"/>
      <w:lvlJc w:val="left"/>
      <w:pPr>
        <w:ind w:left="1330" w:hanging="360"/>
      </w:pPr>
      <w:rPr>
        <w:rFonts w:hint="default"/>
      </w:rPr>
    </w:lvl>
    <w:lvl w:ilvl="2" w:tplc="88244A3C">
      <w:numFmt w:val="bullet"/>
      <w:lvlText w:val="•"/>
      <w:lvlJc w:val="left"/>
      <w:pPr>
        <w:ind w:left="2220" w:hanging="360"/>
      </w:pPr>
      <w:rPr>
        <w:rFonts w:hint="default"/>
      </w:rPr>
    </w:lvl>
    <w:lvl w:ilvl="3" w:tplc="31EEEB4C">
      <w:numFmt w:val="bullet"/>
      <w:lvlText w:val="•"/>
      <w:lvlJc w:val="left"/>
      <w:pPr>
        <w:ind w:left="3110" w:hanging="360"/>
      </w:pPr>
      <w:rPr>
        <w:rFonts w:hint="default"/>
      </w:rPr>
    </w:lvl>
    <w:lvl w:ilvl="4" w:tplc="7D42E80A">
      <w:numFmt w:val="bullet"/>
      <w:lvlText w:val="•"/>
      <w:lvlJc w:val="left"/>
      <w:pPr>
        <w:ind w:left="4000" w:hanging="360"/>
      </w:pPr>
      <w:rPr>
        <w:rFonts w:hint="default"/>
      </w:rPr>
    </w:lvl>
    <w:lvl w:ilvl="5" w:tplc="5C26768A">
      <w:numFmt w:val="bullet"/>
      <w:lvlText w:val="•"/>
      <w:lvlJc w:val="left"/>
      <w:pPr>
        <w:ind w:left="4890" w:hanging="360"/>
      </w:pPr>
      <w:rPr>
        <w:rFonts w:hint="default"/>
      </w:rPr>
    </w:lvl>
    <w:lvl w:ilvl="6" w:tplc="0010B96C">
      <w:numFmt w:val="bullet"/>
      <w:lvlText w:val="•"/>
      <w:lvlJc w:val="left"/>
      <w:pPr>
        <w:ind w:left="5780" w:hanging="360"/>
      </w:pPr>
      <w:rPr>
        <w:rFonts w:hint="default"/>
      </w:rPr>
    </w:lvl>
    <w:lvl w:ilvl="7" w:tplc="1106519C">
      <w:numFmt w:val="bullet"/>
      <w:lvlText w:val="•"/>
      <w:lvlJc w:val="left"/>
      <w:pPr>
        <w:ind w:left="6670" w:hanging="360"/>
      </w:pPr>
      <w:rPr>
        <w:rFonts w:hint="default"/>
      </w:rPr>
    </w:lvl>
    <w:lvl w:ilvl="8" w:tplc="5302038A">
      <w:numFmt w:val="bullet"/>
      <w:lvlText w:val="•"/>
      <w:lvlJc w:val="left"/>
      <w:pPr>
        <w:ind w:left="7560" w:hanging="360"/>
      </w:pPr>
      <w:rPr>
        <w:rFonts w:hint="default"/>
      </w:rPr>
    </w:lvl>
  </w:abstractNum>
  <w:abstractNum w:abstractNumId="2" w15:restartNumberingAfterBreak="0">
    <w:nsid w:val="1C731420"/>
    <w:multiLevelType w:val="hybridMultilevel"/>
    <w:tmpl w:val="ABAC8BE0"/>
    <w:lvl w:ilvl="0" w:tplc="7B609040">
      <w:numFmt w:val="bullet"/>
      <w:lvlText w:val="•"/>
      <w:lvlJc w:val="left"/>
      <w:pPr>
        <w:ind w:left="450" w:hanging="360"/>
      </w:pPr>
      <w:rPr>
        <w:rFonts w:ascii="Times New Roman" w:eastAsia="Times New Roman" w:hAnsi="Times New Roman" w:cs="Times New Roman" w:hint="default"/>
        <w:color w:val="1E4E79"/>
        <w:w w:val="99"/>
        <w:sz w:val="24"/>
        <w:szCs w:val="24"/>
      </w:rPr>
    </w:lvl>
    <w:lvl w:ilvl="1" w:tplc="756422A4">
      <w:numFmt w:val="bullet"/>
      <w:lvlText w:val="•"/>
      <w:lvlJc w:val="left"/>
      <w:pPr>
        <w:ind w:left="1330" w:hanging="360"/>
      </w:pPr>
      <w:rPr>
        <w:rFonts w:hint="default"/>
      </w:rPr>
    </w:lvl>
    <w:lvl w:ilvl="2" w:tplc="49A498C0">
      <w:numFmt w:val="bullet"/>
      <w:lvlText w:val="•"/>
      <w:lvlJc w:val="left"/>
      <w:pPr>
        <w:ind w:left="2220" w:hanging="360"/>
      </w:pPr>
      <w:rPr>
        <w:rFonts w:hint="default"/>
      </w:rPr>
    </w:lvl>
    <w:lvl w:ilvl="3" w:tplc="6A581FB8">
      <w:numFmt w:val="bullet"/>
      <w:lvlText w:val="•"/>
      <w:lvlJc w:val="left"/>
      <w:pPr>
        <w:ind w:left="3110" w:hanging="360"/>
      </w:pPr>
      <w:rPr>
        <w:rFonts w:hint="default"/>
      </w:rPr>
    </w:lvl>
    <w:lvl w:ilvl="4" w:tplc="3F3E85B4">
      <w:numFmt w:val="bullet"/>
      <w:lvlText w:val="•"/>
      <w:lvlJc w:val="left"/>
      <w:pPr>
        <w:ind w:left="4000" w:hanging="360"/>
      </w:pPr>
      <w:rPr>
        <w:rFonts w:hint="default"/>
      </w:rPr>
    </w:lvl>
    <w:lvl w:ilvl="5" w:tplc="C09E0D44">
      <w:numFmt w:val="bullet"/>
      <w:lvlText w:val="•"/>
      <w:lvlJc w:val="left"/>
      <w:pPr>
        <w:ind w:left="4890" w:hanging="360"/>
      </w:pPr>
      <w:rPr>
        <w:rFonts w:hint="default"/>
      </w:rPr>
    </w:lvl>
    <w:lvl w:ilvl="6" w:tplc="6400EE24">
      <w:numFmt w:val="bullet"/>
      <w:lvlText w:val="•"/>
      <w:lvlJc w:val="left"/>
      <w:pPr>
        <w:ind w:left="5780" w:hanging="360"/>
      </w:pPr>
      <w:rPr>
        <w:rFonts w:hint="default"/>
      </w:rPr>
    </w:lvl>
    <w:lvl w:ilvl="7" w:tplc="861C6B9C">
      <w:numFmt w:val="bullet"/>
      <w:lvlText w:val="•"/>
      <w:lvlJc w:val="left"/>
      <w:pPr>
        <w:ind w:left="6670" w:hanging="360"/>
      </w:pPr>
      <w:rPr>
        <w:rFonts w:hint="default"/>
      </w:rPr>
    </w:lvl>
    <w:lvl w:ilvl="8" w:tplc="B6BCD522">
      <w:numFmt w:val="bullet"/>
      <w:lvlText w:val="•"/>
      <w:lvlJc w:val="left"/>
      <w:pPr>
        <w:ind w:left="7560" w:hanging="360"/>
      </w:pPr>
      <w:rPr>
        <w:rFonts w:hint="default"/>
      </w:rPr>
    </w:lvl>
  </w:abstractNum>
  <w:abstractNum w:abstractNumId="3" w15:restartNumberingAfterBreak="0">
    <w:nsid w:val="3C25222F"/>
    <w:multiLevelType w:val="hybridMultilevel"/>
    <w:tmpl w:val="47C6C61E"/>
    <w:lvl w:ilvl="0" w:tplc="FE0220A2">
      <w:numFmt w:val="bullet"/>
      <w:lvlText w:val="•"/>
      <w:lvlJc w:val="left"/>
      <w:pPr>
        <w:ind w:left="352" w:hanging="288"/>
      </w:pPr>
      <w:rPr>
        <w:rFonts w:ascii="Times New Roman" w:eastAsia="Times New Roman" w:hAnsi="Times New Roman" w:cs="Times New Roman" w:hint="default"/>
        <w:color w:val="1E4E79"/>
        <w:w w:val="100"/>
        <w:sz w:val="20"/>
        <w:szCs w:val="20"/>
      </w:rPr>
    </w:lvl>
    <w:lvl w:ilvl="1" w:tplc="6178C3E0">
      <w:numFmt w:val="bullet"/>
      <w:lvlText w:val="•"/>
      <w:lvlJc w:val="left"/>
      <w:pPr>
        <w:ind w:left="690" w:hanging="288"/>
      </w:pPr>
      <w:rPr>
        <w:rFonts w:hint="default"/>
      </w:rPr>
    </w:lvl>
    <w:lvl w:ilvl="2" w:tplc="224060A0">
      <w:numFmt w:val="bullet"/>
      <w:lvlText w:val="•"/>
      <w:lvlJc w:val="left"/>
      <w:pPr>
        <w:ind w:left="1020" w:hanging="288"/>
      </w:pPr>
      <w:rPr>
        <w:rFonts w:hint="default"/>
      </w:rPr>
    </w:lvl>
    <w:lvl w:ilvl="3" w:tplc="46CEA866">
      <w:numFmt w:val="bullet"/>
      <w:lvlText w:val="•"/>
      <w:lvlJc w:val="left"/>
      <w:pPr>
        <w:ind w:left="1351" w:hanging="288"/>
      </w:pPr>
      <w:rPr>
        <w:rFonts w:hint="default"/>
      </w:rPr>
    </w:lvl>
    <w:lvl w:ilvl="4" w:tplc="F7AE558E">
      <w:numFmt w:val="bullet"/>
      <w:lvlText w:val="•"/>
      <w:lvlJc w:val="left"/>
      <w:pPr>
        <w:ind w:left="1681" w:hanging="288"/>
      </w:pPr>
      <w:rPr>
        <w:rFonts w:hint="default"/>
      </w:rPr>
    </w:lvl>
    <w:lvl w:ilvl="5" w:tplc="86F024B6">
      <w:numFmt w:val="bullet"/>
      <w:lvlText w:val="•"/>
      <w:lvlJc w:val="left"/>
      <w:pPr>
        <w:ind w:left="2012" w:hanging="288"/>
      </w:pPr>
      <w:rPr>
        <w:rFonts w:hint="default"/>
      </w:rPr>
    </w:lvl>
    <w:lvl w:ilvl="6" w:tplc="C0CCE76A">
      <w:numFmt w:val="bullet"/>
      <w:lvlText w:val="•"/>
      <w:lvlJc w:val="left"/>
      <w:pPr>
        <w:ind w:left="2342" w:hanging="288"/>
      </w:pPr>
      <w:rPr>
        <w:rFonts w:hint="default"/>
      </w:rPr>
    </w:lvl>
    <w:lvl w:ilvl="7" w:tplc="4EF8CE40">
      <w:numFmt w:val="bullet"/>
      <w:lvlText w:val="•"/>
      <w:lvlJc w:val="left"/>
      <w:pPr>
        <w:ind w:left="2673" w:hanging="288"/>
      </w:pPr>
      <w:rPr>
        <w:rFonts w:hint="default"/>
      </w:rPr>
    </w:lvl>
    <w:lvl w:ilvl="8" w:tplc="1FB8306E">
      <w:numFmt w:val="bullet"/>
      <w:lvlText w:val="•"/>
      <w:lvlJc w:val="left"/>
      <w:pPr>
        <w:ind w:left="3003" w:hanging="288"/>
      </w:pPr>
      <w:rPr>
        <w:rFonts w:hint="default"/>
      </w:rPr>
    </w:lvl>
  </w:abstractNum>
  <w:abstractNum w:abstractNumId="4" w15:restartNumberingAfterBreak="0">
    <w:nsid w:val="4EC77BA1"/>
    <w:multiLevelType w:val="hybridMultilevel"/>
    <w:tmpl w:val="49222A92"/>
    <w:lvl w:ilvl="0" w:tplc="8890A35A">
      <w:start w:val="1"/>
      <w:numFmt w:val="decimal"/>
      <w:lvlText w:val="%1."/>
      <w:lvlJc w:val="left"/>
      <w:pPr>
        <w:ind w:left="480" w:hanging="360"/>
        <w:jc w:val="left"/>
      </w:pPr>
      <w:rPr>
        <w:rFonts w:ascii="Times New Roman" w:eastAsia="Times New Roman" w:hAnsi="Times New Roman" w:cs="Times New Roman" w:hint="default"/>
        <w:spacing w:val="-2"/>
        <w:w w:val="99"/>
        <w:sz w:val="24"/>
        <w:szCs w:val="24"/>
      </w:rPr>
    </w:lvl>
    <w:lvl w:ilvl="1" w:tplc="55A28060">
      <w:start w:val="1"/>
      <w:numFmt w:val="lowerLetter"/>
      <w:lvlText w:val="%2."/>
      <w:lvlJc w:val="left"/>
      <w:pPr>
        <w:ind w:left="840" w:hanging="360"/>
        <w:jc w:val="left"/>
      </w:pPr>
      <w:rPr>
        <w:rFonts w:ascii="Times New Roman" w:eastAsia="Times New Roman" w:hAnsi="Times New Roman" w:cs="Times New Roman" w:hint="default"/>
        <w:spacing w:val="-2"/>
        <w:w w:val="99"/>
        <w:sz w:val="24"/>
        <w:szCs w:val="24"/>
      </w:rPr>
    </w:lvl>
    <w:lvl w:ilvl="2" w:tplc="565C639E">
      <w:numFmt w:val="bullet"/>
      <w:lvlText w:val="•"/>
      <w:lvlJc w:val="left"/>
      <w:pPr>
        <w:ind w:left="1813" w:hanging="360"/>
      </w:pPr>
      <w:rPr>
        <w:rFonts w:hint="default"/>
      </w:rPr>
    </w:lvl>
    <w:lvl w:ilvl="3" w:tplc="394C63F8">
      <w:numFmt w:val="bullet"/>
      <w:lvlText w:val="•"/>
      <w:lvlJc w:val="left"/>
      <w:pPr>
        <w:ind w:left="2786" w:hanging="360"/>
      </w:pPr>
      <w:rPr>
        <w:rFonts w:hint="default"/>
      </w:rPr>
    </w:lvl>
    <w:lvl w:ilvl="4" w:tplc="B992BCA4">
      <w:numFmt w:val="bullet"/>
      <w:lvlText w:val="•"/>
      <w:lvlJc w:val="left"/>
      <w:pPr>
        <w:ind w:left="3760" w:hanging="360"/>
      </w:pPr>
      <w:rPr>
        <w:rFonts w:hint="default"/>
      </w:rPr>
    </w:lvl>
    <w:lvl w:ilvl="5" w:tplc="86C24242">
      <w:numFmt w:val="bullet"/>
      <w:lvlText w:val="•"/>
      <w:lvlJc w:val="left"/>
      <w:pPr>
        <w:ind w:left="4733" w:hanging="360"/>
      </w:pPr>
      <w:rPr>
        <w:rFonts w:hint="default"/>
      </w:rPr>
    </w:lvl>
    <w:lvl w:ilvl="6" w:tplc="4C049C7C">
      <w:numFmt w:val="bullet"/>
      <w:lvlText w:val="•"/>
      <w:lvlJc w:val="left"/>
      <w:pPr>
        <w:ind w:left="5706" w:hanging="360"/>
      </w:pPr>
      <w:rPr>
        <w:rFonts w:hint="default"/>
      </w:rPr>
    </w:lvl>
    <w:lvl w:ilvl="7" w:tplc="C4ACB3C8">
      <w:numFmt w:val="bullet"/>
      <w:lvlText w:val="•"/>
      <w:lvlJc w:val="left"/>
      <w:pPr>
        <w:ind w:left="6680" w:hanging="360"/>
      </w:pPr>
      <w:rPr>
        <w:rFonts w:hint="default"/>
      </w:rPr>
    </w:lvl>
    <w:lvl w:ilvl="8" w:tplc="8152983C">
      <w:numFmt w:val="bullet"/>
      <w:lvlText w:val="•"/>
      <w:lvlJc w:val="left"/>
      <w:pPr>
        <w:ind w:left="7653" w:hanging="360"/>
      </w:pPr>
      <w:rPr>
        <w:rFonts w:hint="default"/>
      </w:rPr>
    </w:lvl>
  </w:abstractNum>
  <w:abstractNum w:abstractNumId="5" w15:restartNumberingAfterBreak="0">
    <w:nsid w:val="72672D56"/>
    <w:multiLevelType w:val="hybridMultilevel"/>
    <w:tmpl w:val="CF4040AE"/>
    <w:lvl w:ilvl="0" w:tplc="9EBC349A">
      <w:numFmt w:val="bullet"/>
      <w:lvlText w:val="•"/>
      <w:lvlJc w:val="left"/>
      <w:pPr>
        <w:ind w:left="352" w:hanging="288"/>
      </w:pPr>
      <w:rPr>
        <w:rFonts w:ascii="Times New Roman" w:eastAsia="Times New Roman" w:hAnsi="Times New Roman" w:cs="Times New Roman" w:hint="default"/>
        <w:color w:val="1E4E79"/>
        <w:w w:val="100"/>
        <w:sz w:val="20"/>
        <w:szCs w:val="20"/>
      </w:rPr>
    </w:lvl>
    <w:lvl w:ilvl="1" w:tplc="678CF4E2">
      <w:numFmt w:val="bullet"/>
      <w:lvlText w:val="•"/>
      <w:lvlJc w:val="left"/>
      <w:pPr>
        <w:ind w:left="856" w:hanging="288"/>
      </w:pPr>
      <w:rPr>
        <w:rFonts w:hint="default"/>
      </w:rPr>
    </w:lvl>
    <w:lvl w:ilvl="2" w:tplc="1AEE8B32">
      <w:numFmt w:val="bullet"/>
      <w:lvlText w:val="•"/>
      <w:lvlJc w:val="left"/>
      <w:pPr>
        <w:ind w:left="1352" w:hanging="288"/>
      </w:pPr>
      <w:rPr>
        <w:rFonts w:hint="default"/>
      </w:rPr>
    </w:lvl>
    <w:lvl w:ilvl="3" w:tplc="67EAFA18">
      <w:numFmt w:val="bullet"/>
      <w:lvlText w:val="•"/>
      <w:lvlJc w:val="left"/>
      <w:pPr>
        <w:ind w:left="1848" w:hanging="288"/>
      </w:pPr>
      <w:rPr>
        <w:rFonts w:hint="default"/>
      </w:rPr>
    </w:lvl>
    <w:lvl w:ilvl="4" w:tplc="0B262BF4">
      <w:numFmt w:val="bullet"/>
      <w:lvlText w:val="•"/>
      <w:lvlJc w:val="left"/>
      <w:pPr>
        <w:ind w:left="2344" w:hanging="288"/>
      </w:pPr>
      <w:rPr>
        <w:rFonts w:hint="default"/>
      </w:rPr>
    </w:lvl>
    <w:lvl w:ilvl="5" w:tplc="A9EEA418">
      <w:numFmt w:val="bullet"/>
      <w:lvlText w:val="•"/>
      <w:lvlJc w:val="left"/>
      <w:pPr>
        <w:ind w:left="2840" w:hanging="288"/>
      </w:pPr>
      <w:rPr>
        <w:rFonts w:hint="default"/>
      </w:rPr>
    </w:lvl>
    <w:lvl w:ilvl="6" w:tplc="B90EEE04">
      <w:numFmt w:val="bullet"/>
      <w:lvlText w:val="•"/>
      <w:lvlJc w:val="left"/>
      <w:pPr>
        <w:ind w:left="3336" w:hanging="288"/>
      </w:pPr>
      <w:rPr>
        <w:rFonts w:hint="default"/>
      </w:rPr>
    </w:lvl>
    <w:lvl w:ilvl="7" w:tplc="BE0ECD96">
      <w:numFmt w:val="bullet"/>
      <w:lvlText w:val="•"/>
      <w:lvlJc w:val="left"/>
      <w:pPr>
        <w:ind w:left="3832" w:hanging="288"/>
      </w:pPr>
      <w:rPr>
        <w:rFonts w:hint="default"/>
      </w:rPr>
    </w:lvl>
    <w:lvl w:ilvl="8" w:tplc="B20264DA">
      <w:numFmt w:val="bullet"/>
      <w:lvlText w:val="•"/>
      <w:lvlJc w:val="left"/>
      <w:pPr>
        <w:ind w:left="4328" w:hanging="288"/>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3"/>
    <w:rsid w:val="005F33A1"/>
    <w:rsid w:val="007A705F"/>
    <w:rsid w:val="00A61F73"/>
    <w:rsid w:val="00BC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F33D1C8A-2C6B-4E86-BAC4-0774D545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29"/>
      <w:ind w:left="120"/>
      <w:outlineLvl w:val="0"/>
    </w:pPr>
    <w:rPr>
      <w:b/>
      <w:bCs/>
      <w:sz w:val="36"/>
      <w:szCs w:val="36"/>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480" w:hanging="360"/>
    </w:pPr>
  </w:style>
  <w:style w:type="paragraph" w:customStyle="1" w:styleId="TableParagraph">
    <w:name w:val="Table Paragraph"/>
    <w:basedOn w:val="Normal"/>
    <w:uiPriority w:val="1"/>
    <w:qFormat/>
    <w:pPr>
      <w:spacing w:before="58"/>
      <w:ind w:left="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tlcenter.org/sites/default/files/GTL_Moving_Toward_Equity.pdf"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tlcenter.org/sites/default/files/GTL_Moving_Toward_Equity.pdf"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OSSE Section 2 - Analyzing Root Causes</vt:lpstr>
    </vt:vector>
  </TitlesOfParts>
  <Company>DC Government</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Section 2 - Analyzing Root Causes</dc:title>
  <dc:creator>American Institutes for Research</dc:creator>
  <cp:keywords>Insert appropriate search engine keywords.</cp:keywords>
  <cp:lastModifiedBy>Goff, Rose (OSSE)</cp:lastModifiedBy>
  <cp:revision>2</cp:revision>
  <dcterms:created xsi:type="dcterms:W3CDTF">2018-06-22T20:20:00Z</dcterms:created>
  <dcterms:modified xsi:type="dcterms:W3CDTF">2018-06-22T20:20:00Z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15 for Word</vt:lpwstr>
  </property>
  <property fmtid="{D5CDD505-2E9C-101B-9397-08002B2CF9AE}" pid="4" name="LastSaved">
    <vt:filetime>2018-06-22T00:00:00Z</vt:filetime>
  </property>
</Properties>
</file>