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7E" w:rsidRPr="005B1E81" w:rsidRDefault="00B17998" w:rsidP="00676D7E">
      <w:pPr>
        <w:pStyle w:val="Heading2"/>
        <w:pBdr>
          <w:top w:val="dashSmallGap" w:sz="4" w:space="6" w:color="D11242"/>
          <w:bottom w:val="dashSmallGap" w:sz="4" w:space="12" w:color="D11242"/>
          <w:between w:val="dashSmallGap" w:sz="4" w:space="6" w:color="D11242"/>
        </w:pBdr>
        <w:rPr>
          <w:rFonts w:asciiTheme="majorHAnsi" w:hAnsiTheme="majorHAnsi"/>
          <w:b/>
        </w:rPr>
      </w:pPr>
      <w:r w:rsidRPr="005B1E81">
        <w:rPr>
          <w:rFonts w:asciiTheme="majorHAnsi" w:hAnsiTheme="majorHAnsi"/>
          <w:b/>
        </w:rPr>
        <w:t>Observation and Feedback</w:t>
      </w:r>
      <w:r w:rsidR="00676D7E" w:rsidRPr="005B1E81">
        <w:rPr>
          <w:rFonts w:asciiTheme="majorHAnsi" w:hAnsiTheme="majorHAnsi"/>
          <w:b/>
        </w:rPr>
        <w:t xml:space="preserve"> Decision Points for OSSE LEAs</w:t>
      </w:r>
    </w:p>
    <w:p w:rsidR="00676D7E" w:rsidRPr="005B1E81" w:rsidRDefault="00676D7E" w:rsidP="00676D7E">
      <w:pPr>
        <w:rPr>
          <w:rFonts w:asciiTheme="majorHAnsi" w:hAnsiTheme="majorHAnsi"/>
          <w:szCs w:val="22"/>
        </w:rPr>
      </w:pPr>
      <w:r w:rsidRPr="005B1E81">
        <w:rPr>
          <w:rFonts w:asciiTheme="majorHAnsi" w:hAnsiTheme="majorHAnsi"/>
          <w:szCs w:val="22"/>
        </w:rPr>
        <w:t xml:space="preserve">The following chart maps the policy decisions LEAs must make as the prerequisite for planning </w:t>
      </w:r>
      <w:r w:rsidR="00B17998" w:rsidRPr="005B1E81">
        <w:rPr>
          <w:rFonts w:asciiTheme="majorHAnsi" w:hAnsiTheme="majorHAnsi"/>
          <w:szCs w:val="22"/>
        </w:rPr>
        <w:t xml:space="preserve">the </w:t>
      </w:r>
      <w:r w:rsidRPr="005B1E81">
        <w:rPr>
          <w:rFonts w:asciiTheme="majorHAnsi" w:hAnsiTheme="majorHAnsi"/>
          <w:szCs w:val="22"/>
        </w:rPr>
        <w:t>implementation</w:t>
      </w:r>
      <w:r w:rsidR="00B17998" w:rsidRPr="005B1E81">
        <w:rPr>
          <w:rFonts w:asciiTheme="majorHAnsi" w:hAnsiTheme="majorHAnsi"/>
          <w:szCs w:val="22"/>
        </w:rPr>
        <w:t xml:space="preserve"> of OSSE’s model evaluation system</w:t>
      </w:r>
      <w:r w:rsidRPr="005B1E81">
        <w:rPr>
          <w:rFonts w:asciiTheme="majorHAnsi" w:hAnsiTheme="majorHAnsi"/>
          <w:szCs w:val="22"/>
        </w:rPr>
        <w:t xml:space="preserve">. </w:t>
      </w:r>
      <w:bookmarkStart w:id="0" w:name="_GoBack"/>
      <w:bookmarkEnd w:id="0"/>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0A0" w:firstRow="1" w:lastRow="0" w:firstColumn="1" w:lastColumn="0" w:noHBand="0" w:noVBand="0"/>
      </w:tblPr>
      <w:tblGrid>
        <w:gridCol w:w="1622"/>
        <w:gridCol w:w="3065"/>
        <w:gridCol w:w="3071"/>
        <w:gridCol w:w="3032"/>
      </w:tblGrid>
      <w:tr w:rsidR="00306FE5" w:rsidRPr="005B1E81">
        <w:tc>
          <w:tcPr>
            <w:tcW w:w="1622" w:type="dxa"/>
          </w:tcPr>
          <w:p w:rsidR="00676D7E" w:rsidRPr="005B1E81" w:rsidRDefault="00676D7E" w:rsidP="00306FE5">
            <w:pPr>
              <w:spacing w:line="240" w:lineRule="auto"/>
              <w:jc w:val="center"/>
              <w:rPr>
                <w:rFonts w:asciiTheme="majorHAnsi" w:hAnsiTheme="majorHAnsi"/>
                <w:b/>
              </w:rPr>
            </w:pPr>
            <w:r w:rsidRPr="005B1E81">
              <w:rPr>
                <w:rFonts w:asciiTheme="majorHAnsi" w:hAnsiTheme="majorHAnsi"/>
                <w:b/>
              </w:rPr>
              <w:t>Decision Point</w:t>
            </w:r>
          </w:p>
        </w:tc>
        <w:tc>
          <w:tcPr>
            <w:tcW w:w="3131" w:type="dxa"/>
          </w:tcPr>
          <w:p w:rsidR="00676D7E" w:rsidRPr="005B1E81" w:rsidRDefault="00676D7E" w:rsidP="00676D7E">
            <w:pPr>
              <w:jc w:val="center"/>
              <w:rPr>
                <w:rFonts w:asciiTheme="majorHAnsi" w:hAnsiTheme="majorHAnsi"/>
                <w:b/>
              </w:rPr>
            </w:pPr>
            <w:r w:rsidRPr="005B1E81">
              <w:rPr>
                <w:rFonts w:asciiTheme="majorHAnsi" w:hAnsiTheme="majorHAnsi"/>
                <w:b/>
              </w:rPr>
              <w:t>Guiding Questions</w:t>
            </w:r>
          </w:p>
        </w:tc>
        <w:tc>
          <w:tcPr>
            <w:tcW w:w="3131" w:type="dxa"/>
          </w:tcPr>
          <w:p w:rsidR="00676D7E" w:rsidRPr="005B1E81" w:rsidRDefault="00676D7E" w:rsidP="00306FE5">
            <w:pPr>
              <w:jc w:val="center"/>
              <w:rPr>
                <w:rFonts w:asciiTheme="majorHAnsi" w:hAnsiTheme="majorHAnsi"/>
                <w:b/>
              </w:rPr>
            </w:pPr>
            <w:r w:rsidRPr="005B1E81">
              <w:rPr>
                <w:rFonts w:asciiTheme="majorHAnsi" w:hAnsiTheme="majorHAnsi"/>
                <w:b/>
              </w:rPr>
              <w:t>OSSE  Recommendation</w:t>
            </w:r>
          </w:p>
        </w:tc>
        <w:tc>
          <w:tcPr>
            <w:tcW w:w="3132" w:type="dxa"/>
          </w:tcPr>
          <w:p w:rsidR="00676D7E" w:rsidRPr="005B1E81" w:rsidRDefault="00676D7E" w:rsidP="00676D7E">
            <w:pPr>
              <w:jc w:val="center"/>
              <w:rPr>
                <w:rFonts w:asciiTheme="majorHAnsi" w:hAnsiTheme="majorHAnsi"/>
                <w:b/>
              </w:rPr>
            </w:pPr>
            <w:r w:rsidRPr="005B1E81">
              <w:rPr>
                <w:rFonts w:asciiTheme="majorHAnsi" w:hAnsiTheme="majorHAnsi"/>
                <w:b/>
              </w:rPr>
              <w:t>LEA Decision</w:t>
            </w:r>
          </w:p>
        </w:tc>
      </w:tr>
      <w:tr w:rsidR="00306FE5" w:rsidRPr="005B1E81">
        <w:tc>
          <w:tcPr>
            <w:tcW w:w="1622" w:type="dxa"/>
          </w:tcPr>
          <w:p w:rsidR="00676D7E" w:rsidRPr="005B1E81" w:rsidRDefault="00B17998">
            <w:pPr>
              <w:rPr>
                <w:rFonts w:asciiTheme="majorHAnsi" w:hAnsiTheme="majorHAnsi"/>
              </w:rPr>
            </w:pPr>
            <w:r w:rsidRPr="005B1E81">
              <w:rPr>
                <w:rFonts w:asciiTheme="majorHAnsi" w:hAnsiTheme="majorHAnsi"/>
              </w:rPr>
              <w:t>Process</w:t>
            </w:r>
          </w:p>
        </w:tc>
        <w:tc>
          <w:tcPr>
            <w:tcW w:w="3131" w:type="dxa"/>
          </w:tcPr>
          <w:p w:rsidR="003B655B" w:rsidRPr="005B1E81" w:rsidRDefault="00B17998" w:rsidP="005F268F">
            <w:pPr>
              <w:pStyle w:val="ListParagraph"/>
              <w:numPr>
                <w:ilvl w:val="0"/>
                <w:numId w:val="2"/>
              </w:numPr>
              <w:ind w:left="171" w:hanging="180"/>
              <w:rPr>
                <w:rFonts w:asciiTheme="majorHAnsi" w:hAnsiTheme="majorHAnsi"/>
              </w:rPr>
            </w:pPr>
            <w:r w:rsidRPr="005B1E81">
              <w:rPr>
                <w:rFonts w:asciiTheme="majorHAnsi" w:hAnsiTheme="majorHAnsi"/>
              </w:rPr>
              <w:t>What is the process in place for conducting observations and engaging in feedback conversations?</w:t>
            </w:r>
          </w:p>
          <w:p w:rsidR="003B655B" w:rsidRPr="005B1E81" w:rsidRDefault="003B655B" w:rsidP="005F268F">
            <w:pPr>
              <w:pStyle w:val="ListParagraph"/>
              <w:numPr>
                <w:ilvl w:val="0"/>
                <w:numId w:val="2"/>
              </w:numPr>
              <w:ind w:left="171" w:hanging="180"/>
              <w:rPr>
                <w:rFonts w:asciiTheme="majorHAnsi" w:hAnsiTheme="majorHAnsi"/>
              </w:rPr>
            </w:pPr>
            <w:r w:rsidRPr="005B1E81">
              <w:rPr>
                <w:rFonts w:asciiTheme="majorHAnsi" w:hAnsiTheme="majorHAnsi"/>
              </w:rPr>
              <w:t>Do teachers and observers / evaluators engage in pre- and post-observation conferences?</w:t>
            </w:r>
          </w:p>
          <w:p w:rsidR="00676D7E" w:rsidRPr="005B1E81" w:rsidRDefault="003B655B" w:rsidP="005F268F">
            <w:pPr>
              <w:pStyle w:val="ListParagraph"/>
              <w:numPr>
                <w:ilvl w:val="0"/>
                <w:numId w:val="2"/>
              </w:numPr>
              <w:ind w:left="171" w:hanging="180"/>
              <w:rPr>
                <w:rFonts w:asciiTheme="majorHAnsi" w:hAnsiTheme="majorHAnsi"/>
              </w:rPr>
            </w:pPr>
            <w:r w:rsidRPr="005B1E81">
              <w:rPr>
                <w:rFonts w:asciiTheme="majorHAnsi" w:hAnsiTheme="majorHAnsi"/>
              </w:rPr>
              <w:t xml:space="preserve">How do teachers receive feedback? </w:t>
            </w:r>
          </w:p>
        </w:tc>
        <w:tc>
          <w:tcPr>
            <w:tcW w:w="3131" w:type="dxa"/>
          </w:tcPr>
          <w:p w:rsidR="00676D7E" w:rsidRPr="005B1E81" w:rsidRDefault="00E03ADB" w:rsidP="00676D7E">
            <w:pPr>
              <w:rPr>
                <w:rFonts w:asciiTheme="majorHAnsi" w:hAnsiTheme="majorHAnsi"/>
              </w:rPr>
            </w:pPr>
            <w:r w:rsidRPr="005B1E81">
              <w:rPr>
                <w:rFonts w:asciiTheme="majorHAnsi" w:hAnsiTheme="majorHAnsi"/>
              </w:rPr>
              <w:t xml:space="preserve">OSSE recommends that LEAs engage in a process in which teachers have opportunities to engage in a pre- and post-observation conference. Feedback and next steps should be made available (in writing, online) for teachers to review. </w:t>
            </w:r>
          </w:p>
        </w:tc>
        <w:tc>
          <w:tcPr>
            <w:tcW w:w="3132" w:type="dxa"/>
          </w:tcPr>
          <w:p w:rsidR="00676D7E" w:rsidRPr="005B1E81" w:rsidRDefault="00676D7E" w:rsidP="00676D7E">
            <w:pPr>
              <w:rPr>
                <w:rFonts w:asciiTheme="majorHAnsi" w:hAnsiTheme="majorHAnsi"/>
              </w:rPr>
            </w:pPr>
          </w:p>
        </w:tc>
      </w:tr>
      <w:tr w:rsidR="00306FE5" w:rsidRPr="005B1E81">
        <w:tc>
          <w:tcPr>
            <w:tcW w:w="1622" w:type="dxa"/>
          </w:tcPr>
          <w:p w:rsidR="00676D7E" w:rsidRPr="005B1E81" w:rsidRDefault="003B655B">
            <w:pPr>
              <w:rPr>
                <w:rFonts w:asciiTheme="majorHAnsi" w:hAnsiTheme="majorHAnsi"/>
              </w:rPr>
            </w:pPr>
            <w:r w:rsidRPr="005B1E81">
              <w:rPr>
                <w:rFonts w:asciiTheme="majorHAnsi" w:hAnsiTheme="majorHAnsi"/>
              </w:rPr>
              <w:t>Goal Setting</w:t>
            </w:r>
          </w:p>
        </w:tc>
        <w:tc>
          <w:tcPr>
            <w:tcW w:w="3131" w:type="dxa"/>
          </w:tcPr>
          <w:p w:rsidR="003B655B" w:rsidRPr="005B1E81" w:rsidRDefault="003B655B" w:rsidP="005F268F">
            <w:pPr>
              <w:pStyle w:val="ListParagraph"/>
              <w:numPr>
                <w:ilvl w:val="0"/>
                <w:numId w:val="2"/>
              </w:numPr>
              <w:ind w:left="171" w:hanging="180"/>
              <w:rPr>
                <w:rFonts w:asciiTheme="majorHAnsi" w:hAnsiTheme="majorHAnsi"/>
              </w:rPr>
            </w:pPr>
            <w:r w:rsidRPr="005B1E81">
              <w:rPr>
                <w:rFonts w:asciiTheme="majorHAnsi" w:hAnsiTheme="majorHAnsi"/>
              </w:rPr>
              <w:t>Do teachers begin the year / instructional interval with a goal setting process?</w:t>
            </w:r>
          </w:p>
          <w:p w:rsidR="00676D7E" w:rsidRPr="005B1E81" w:rsidRDefault="003B655B" w:rsidP="005F268F">
            <w:pPr>
              <w:pStyle w:val="ListParagraph"/>
              <w:numPr>
                <w:ilvl w:val="0"/>
                <w:numId w:val="2"/>
              </w:numPr>
              <w:ind w:left="171" w:hanging="180"/>
              <w:rPr>
                <w:rFonts w:asciiTheme="majorHAnsi" w:hAnsiTheme="majorHAnsi"/>
              </w:rPr>
            </w:pPr>
            <w:r w:rsidRPr="005B1E81">
              <w:rPr>
                <w:rFonts w:asciiTheme="majorHAnsi" w:hAnsiTheme="majorHAnsi"/>
              </w:rPr>
              <w:t>Do teachers develop professional growth plans? What is the process?</w:t>
            </w:r>
          </w:p>
        </w:tc>
        <w:tc>
          <w:tcPr>
            <w:tcW w:w="3131" w:type="dxa"/>
          </w:tcPr>
          <w:p w:rsidR="00676D7E" w:rsidRPr="005B1E81" w:rsidRDefault="00E03ADB" w:rsidP="00676D7E">
            <w:pPr>
              <w:rPr>
                <w:rFonts w:asciiTheme="majorHAnsi" w:hAnsiTheme="majorHAnsi"/>
              </w:rPr>
            </w:pPr>
            <w:r w:rsidRPr="005B1E81">
              <w:rPr>
                <w:rFonts w:asciiTheme="majorHAnsi" w:hAnsiTheme="majorHAnsi"/>
              </w:rPr>
              <w:t xml:space="preserve">OSSE recommends that teachers set instructional and professional goals at the start of the school year in the form of a professional growth plan that is reviewed with the observer / supervisor / coaching team. </w:t>
            </w:r>
          </w:p>
        </w:tc>
        <w:tc>
          <w:tcPr>
            <w:tcW w:w="3132" w:type="dxa"/>
          </w:tcPr>
          <w:p w:rsidR="00676D7E" w:rsidRPr="005B1E81" w:rsidRDefault="00676D7E" w:rsidP="00676D7E">
            <w:pPr>
              <w:rPr>
                <w:rFonts w:asciiTheme="majorHAnsi" w:hAnsiTheme="majorHAnsi"/>
              </w:rPr>
            </w:pPr>
          </w:p>
        </w:tc>
      </w:tr>
      <w:tr w:rsidR="002E589F" w:rsidRPr="005B1E81">
        <w:tc>
          <w:tcPr>
            <w:tcW w:w="1622" w:type="dxa"/>
          </w:tcPr>
          <w:p w:rsidR="002E589F" w:rsidRPr="005B1E81" w:rsidRDefault="002E589F">
            <w:pPr>
              <w:rPr>
                <w:rFonts w:asciiTheme="majorHAnsi" w:hAnsiTheme="majorHAnsi"/>
              </w:rPr>
            </w:pPr>
            <w:r w:rsidRPr="005B1E81">
              <w:rPr>
                <w:rFonts w:asciiTheme="majorHAnsi" w:hAnsiTheme="majorHAnsi"/>
              </w:rPr>
              <w:t>Supporting Reflective Practice</w:t>
            </w:r>
          </w:p>
        </w:tc>
        <w:tc>
          <w:tcPr>
            <w:tcW w:w="3131" w:type="dxa"/>
          </w:tcPr>
          <w:p w:rsidR="002E589F" w:rsidRPr="005B1E81" w:rsidRDefault="002E589F" w:rsidP="005F268F">
            <w:pPr>
              <w:pStyle w:val="ListParagraph"/>
              <w:numPr>
                <w:ilvl w:val="0"/>
                <w:numId w:val="2"/>
              </w:numPr>
              <w:ind w:left="171" w:hanging="180"/>
              <w:rPr>
                <w:rFonts w:asciiTheme="majorHAnsi" w:hAnsiTheme="majorHAnsi"/>
              </w:rPr>
            </w:pPr>
            <w:r w:rsidRPr="005B1E81">
              <w:rPr>
                <w:rFonts w:asciiTheme="majorHAnsi" w:hAnsiTheme="majorHAnsi"/>
              </w:rPr>
              <w:t>Do teachers have an opportunity to formally reflect on their performance?</w:t>
            </w:r>
          </w:p>
          <w:p w:rsidR="002E589F" w:rsidRPr="005B1E81" w:rsidRDefault="002E589F" w:rsidP="005F268F">
            <w:pPr>
              <w:pStyle w:val="ListParagraph"/>
              <w:numPr>
                <w:ilvl w:val="0"/>
                <w:numId w:val="2"/>
              </w:numPr>
              <w:ind w:left="171" w:hanging="180"/>
              <w:rPr>
                <w:rFonts w:asciiTheme="majorHAnsi" w:hAnsiTheme="majorHAnsi"/>
              </w:rPr>
            </w:pPr>
            <w:r w:rsidRPr="005B1E81">
              <w:rPr>
                <w:rFonts w:asciiTheme="majorHAnsi" w:hAnsiTheme="majorHAnsi"/>
              </w:rPr>
              <w:t>Will teachers complete a self-assessment as a part of the reflection on the observed instruction?</w:t>
            </w:r>
          </w:p>
        </w:tc>
        <w:tc>
          <w:tcPr>
            <w:tcW w:w="3131" w:type="dxa"/>
          </w:tcPr>
          <w:p w:rsidR="002E589F" w:rsidRPr="005B1E81" w:rsidRDefault="00E03ADB">
            <w:pPr>
              <w:rPr>
                <w:rFonts w:asciiTheme="majorHAnsi" w:hAnsiTheme="majorHAnsi"/>
              </w:rPr>
            </w:pPr>
            <w:r w:rsidRPr="005B1E81">
              <w:rPr>
                <w:rFonts w:asciiTheme="majorHAnsi" w:hAnsiTheme="majorHAnsi"/>
              </w:rPr>
              <w:t xml:space="preserve">OSSE recommends that teachers have an opportunity to reflect on their performance prior to engaging in a feedback conversation with observers. This reflection process could include answers to guided questions, the completion of a self assessment, etc. </w:t>
            </w:r>
          </w:p>
        </w:tc>
        <w:tc>
          <w:tcPr>
            <w:tcW w:w="3132" w:type="dxa"/>
          </w:tcPr>
          <w:p w:rsidR="002E589F" w:rsidRPr="005B1E81" w:rsidRDefault="002E589F" w:rsidP="00676D7E">
            <w:pPr>
              <w:rPr>
                <w:rFonts w:asciiTheme="majorHAnsi" w:hAnsiTheme="majorHAnsi"/>
              </w:rPr>
            </w:pPr>
          </w:p>
        </w:tc>
      </w:tr>
      <w:tr w:rsidR="00306FE5" w:rsidRPr="005B1E81">
        <w:tc>
          <w:tcPr>
            <w:tcW w:w="1622" w:type="dxa"/>
          </w:tcPr>
          <w:p w:rsidR="00676D7E" w:rsidRPr="005B1E81" w:rsidRDefault="003B655B">
            <w:pPr>
              <w:rPr>
                <w:rFonts w:asciiTheme="majorHAnsi" w:hAnsiTheme="majorHAnsi"/>
              </w:rPr>
            </w:pPr>
            <w:r w:rsidRPr="005B1E81">
              <w:rPr>
                <w:rFonts w:asciiTheme="majorHAnsi" w:hAnsiTheme="majorHAnsi"/>
              </w:rPr>
              <w:lastRenderedPageBreak/>
              <w:t xml:space="preserve">Who </w:t>
            </w:r>
          </w:p>
        </w:tc>
        <w:tc>
          <w:tcPr>
            <w:tcW w:w="3131" w:type="dxa"/>
          </w:tcPr>
          <w:p w:rsidR="003B655B" w:rsidRPr="005B1E81" w:rsidRDefault="003B655B" w:rsidP="008A4901">
            <w:pPr>
              <w:pStyle w:val="ListParagraph"/>
              <w:numPr>
                <w:ilvl w:val="0"/>
                <w:numId w:val="2"/>
              </w:numPr>
              <w:ind w:left="171" w:hanging="180"/>
              <w:rPr>
                <w:rFonts w:asciiTheme="majorHAnsi" w:hAnsiTheme="majorHAnsi"/>
              </w:rPr>
            </w:pPr>
            <w:r w:rsidRPr="005B1E81">
              <w:rPr>
                <w:rFonts w:asciiTheme="majorHAnsi" w:hAnsiTheme="majorHAnsi"/>
              </w:rPr>
              <w:t>Who conducts the observations?</w:t>
            </w:r>
          </w:p>
          <w:p w:rsidR="00676D7E" w:rsidRPr="005B1E81" w:rsidRDefault="003B655B" w:rsidP="008A4901">
            <w:pPr>
              <w:pStyle w:val="ListParagraph"/>
              <w:numPr>
                <w:ilvl w:val="0"/>
                <w:numId w:val="2"/>
              </w:numPr>
              <w:ind w:left="171" w:hanging="180"/>
              <w:rPr>
                <w:rFonts w:asciiTheme="majorHAnsi" w:hAnsiTheme="majorHAnsi"/>
              </w:rPr>
            </w:pPr>
            <w:r w:rsidRPr="005B1E81">
              <w:rPr>
                <w:rFonts w:asciiTheme="majorHAnsi" w:hAnsiTheme="majorHAnsi"/>
              </w:rPr>
              <w:t>Who supports the observers?</w:t>
            </w:r>
          </w:p>
        </w:tc>
        <w:tc>
          <w:tcPr>
            <w:tcW w:w="3131" w:type="dxa"/>
          </w:tcPr>
          <w:p w:rsidR="00676D7E" w:rsidRPr="005B1E81" w:rsidRDefault="00500D8A" w:rsidP="008A4901">
            <w:pPr>
              <w:ind w:left="-9"/>
              <w:rPr>
                <w:rFonts w:asciiTheme="majorHAnsi" w:hAnsiTheme="majorHAnsi"/>
              </w:rPr>
            </w:pPr>
            <w:r w:rsidRPr="005B1E81">
              <w:rPr>
                <w:rFonts w:asciiTheme="majorHAnsi" w:hAnsiTheme="majorHAnsi"/>
              </w:rPr>
              <w:t xml:space="preserve">Depending on the LEA’s staffing structure, the individual(s) responsible for conducting observations might be a dean, a coach, or a principal. OSSE recommends that there is consistency and continuity in the assignment over the course of the year, and that the observers receive ongoing professional support. </w:t>
            </w:r>
          </w:p>
        </w:tc>
        <w:tc>
          <w:tcPr>
            <w:tcW w:w="3132" w:type="dxa"/>
          </w:tcPr>
          <w:p w:rsidR="00676D7E" w:rsidRPr="005B1E81" w:rsidRDefault="00676D7E" w:rsidP="00676D7E">
            <w:pPr>
              <w:rPr>
                <w:rFonts w:asciiTheme="majorHAnsi" w:hAnsiTheme="majorHAnsi"/>
              </w:rPr>
            </w:pPr>
          </w:p>
        </w:tc>
      </w:tr>
      <w:tr w:rsidR="00306FE5" w:rsidRPr="005B1E81">
        <w:tc>
          <w:tcPr>
            <w:tcW w:w="1622" w:type="dxa"/>
          </w:tcPr>
          <w:p w:rsidR="00676D7E" w:rsidRPr="005B1E81" w:rsidRDefault="003B655B" w:rsidP="00676D7E">
            <w:pPr>
              <w:rPr>
                <w:rFonts w:asciiTheme="majorHAnsi" w:hAnsiTheme="majorHAnsi"/>
              </w:rPr>
            </w:pPr>
            <w:r w:rsidRPr="005B1E81">
              <w:rPr>
                <w:rFonts w:asciiTheme="majorHAnsi" w:hAnsiTheme="majorHAnsi"/>
              </w:rPr>
              <w:t>Differentiation</w:t>
            </w:r>
          </w:p>
        </w:tc>
        <w:tc>
          <w:tcPr>
            <w:tcW w:w="3131" w:type="dxa"/>
          </w:tcPr>
          <w:p w:rsidR="00676D7E" w:rsidRPr="005B1E81" w:rsidRDefault="003B655B" w:rsidP="008A4901">
            <w:pPr>
              <w:pStyle w:val="ListParagraph"/>
              <w:numPr>
                <w:ilvl w:val="0"/>
                <w:numId w:val="2"/>
              </w:numPr>
              <w:ind w:left="171" w:hanging="180"/>
              <w:rPr>
                <w:rFonts w:asciiTheme="majorHAnsi" w:hAnsiTheme="majorHAnsi"/>
              </w:rPr>
            </w:pPr>
            <w:r w:rsidRPr="005B1E81">
              <w:rPr>
                <w:rFonts w:asciiTheme="majorHAnsi" w:hAnsiTheme="majorHAnsi"/>
              </w:rPr>
              <w:t>How is the observation and feedback process differentiated for new teachers, veteran teachers, struggling teachers, etc?</w:t>
            </w:r>
          </w:p>
        </w:tc>
        <w:tc>
          <w:tcPr>
            <w:tcW w:w="3131" w:type="dxa"/>
          </w:tcPr>
          <w:p w:rsidR="00676D7E" w:rsidRPr="005B1E81" w:rsidRDefault="00500D8A" w:rsidP="008A4901">
            <w:pPr>
              <w:ind w:left="-9"/>
              <w:rPr>
                <w:rFonts w:asciiTheme="majorHAnsi" w:hAnsiTheme="majorHAnsi"/>
              </w:rPr>
            </w:pPr>
            <w:r w:rsidRPr="005B1E81">
              <w:rPr>
                <w:rFonts w:asciiTheme="majorHAnsi" w:hAnsiTheme="majorHAnsi"/>
              </w:rPr>
              <w:t xml:space="preserve">OSSE recommends that LEAs differentiate the process </w:t>
            </w:r>
            <w:r w:rsidR="006B080E" w:rsidRPr="005B1E81">
              <w:rPr>
                <w:rFonts w:asciiTheme="majorHAnsi" w:hAnsiTheme="majorHAnsi"/>
              </w:rPr>
              <w:t>so that</w:t>
            </w:r>
            <w:r w:rsidRPr="005B1E81">
              <w:rPr>
                <w:rFonts w:asciiTheme="majorHAnsi" w:hAnsiTheme="majorHAnsi"/>
              </w:rPr>
              <w:t xml:space="preserve"> new and struggling teachers</w:t>
            </w:r>
            <w:r w:rsidR="006B080E" w:rsidRPr="005B1E81">
              <w:rPr>
                <w:rFonts w:asciiTheme="majorHAnsi" w:hAnsiTheme="majorHAnsi"/>
              </w:rPr>
              <w:t xml:space="preserve"> receive additional support in the form of additional observations, feedback and coaching sessions, instructional planning support, etc</w:t>
            </w:r>
            <w:r w:rsidRPr="005B1E81">
              <w:rPr>
                <w:rFonts w:asciiTheme="majorHAnsi" w:hAnsiTheme="majorHAnsi"/>
              </w:rPr>
              <w:t xml:space="preserve">. </w:t>
            </w:r>
          </w:p>
        </w:tc>
        <w:tc>
          <w:tcPr>
            <w:tcW w:w="3132" w:type="dxa"/>
          </w:tcPr>
          <w:p w:rsidR="00676D7E" w:rsidRPr="005B1E81" w:rsidRDefault="00676D7E" w:rsidP="00676D7E">
            <w:pPr>
              <w:rPr>
                <w:rFonts w:asciiTheme="majorHAnsi" w:hAnsiTheme="majorHAnsi"/>
              </w:rPr>
            </w:pPr>
          </w:p>
        </w:tc>
      </w:tr>
      <w:tr w:rsidR="00306FE5" w:rsidRPr="005B1E81">
        <w:tc>
          <w:tcPr>
            <w:tcW w:w="1622" w:type="dxa"/>
          </w:tcPr>
          <w:p w:rsidR="00676D7E" w:rsidRPr="005B1E81" w:rsidRDefault="003B655B" w:rsidP="00676D7E">
            <w:pPr>
              <w:rPr>
                <w:rFonts w:asciiTheme="majorHAnsi" w:hAnsiTheme="majorHAnsi"/>
              </w:rPr>
            </w:pPr>
            <w:r w:rsidRPr="005B1E81">
              <w:rPr>
                <w:rFonts w:asciiTheme="majorHAnsi" w:hAnsiTheme="majorHAnsi"/>
              </w:rPr>
              <w:t xml:space="preserve">Connection to </w:t>
            </w:r>
            <w:r w:rsidR="00306FE5" w:rsidRPr="005B1E81">
              <w:rPr>
                <w:rFonts w:asciiTheme="majorHAnsi" w:hAnsiTheme="majorHAnsi"/>
              </w:rPr>
              <w:t xml:space="preserve">Professional </w:t>
            </w:r>
            <w:r w:rsidRPr="005B1E81">
              <w:rPr>
                <w:rFonts w:asciiTheme="majorHAnsi" w:hAnsiTheme="majorHAnsi"/>
              </w:rPr>
              <w:t>Development</w:t>
            </w:r>
          </w:p>
        </w:tc>
        <w:tc>
          <w:tcPr>
            <w:tcW w:w="3131" w:type="dxa"/>
          </w:tcPr>
          <w:p w:rsidR="002E589F" w:rsidRPr="005B1E81" w:rsidRDefault="003B655B" w:rsidP="008A4901">
            <w:pPr>
              <w:pStyle w:val="ListParagraph"/>
              <w:numPr>
                <w:ilvl w:val="0"/>
                <w:numId w:val="2"/>
              </w:numPr>
              <w:ind w:left="171" w:hanging="180"/>
              <w:rPr>
                <w:rFonts w:asciiTheme="majorHAnsi" w:hAnsiTheme="majorHAnsi"/>
              </w:rPr>
            </w:pPr>
            <w:r w:rsidRPr="005B1E81">
              <w:rPr>
                <w:rFonts w:asciiTheme="majorHAnsi" w:hAnsiTheme="majorHAnsi"/>
              </w:rPr>
              <w:t>How does feedback link to opportunities for professional development?</w:t>
            </w:r>
          </w:p>
          <w:p w:rsidR="00676D7E" w:rsidRPr="005B1E81" w:rsidRDefault="002E589F" w:rsidP="008A4901">
            <w:pPr>
              <w:pStyle w:val="ListParagraph"/>
              <w:numPr>
                <w:ilvl w:val="0"/>
                <w:numId w:val="2"/>
              </w:numPr>
              <w:ind w:left="171" w:hanging="180"/>
              <w:rPr>
                <w:rFonts w:asciiTheme="majorHAnsi" w:hAnsiTheme="majorHAnsi"/>
              </w:rPr>
            </w:pPr>
            <w:r w:rsidRPr="005B1E81">
              <w:rPr>
                <w:rFonts w:asciiTheme="majorHAnsi" w:hAnsiTheme="majorHAnsi"/>
              </w:rPr>
              <w:t>How do teachers demonstrate that they have engaged in professional development opportunities (other than that this should be evident in their practice)?</w:t>
            </w:r>
          </w:p>
        </w:tc>
        <w:tc>
          <w:tcPr>
            <w:tcW w:w="3131" w:type="dxa"/>
          </w:tcPr>
          <w:p w:rsidR="00676D7E" w:rsidRPr="005B1E81" w:rsidRDefault="006B080E" w:rsidP="008A4901">
            <w:pPr>
              <w:ind w:left="-9"/>
              <w:rPr>
                <w:rFonts w:asciiTheme="majorHAnsi" w:hAnsiTheme="majorHAnsi"/>
              </w:rPr>
            </w:pPr>
            <w:r w:rsidRPr="005B1E81">
              <w:rPr>
                <w:rFonts w:asciiTheme="majorHAnsi" w:hAnsiTheme="majorHAnsi"/>
              </w:rPr>
              <w:t xml:space="preserve">OSSE recommends that feedback is linked directly to suggestions for professional development – these might be in the form of professional readings, recommended observations of teachers who are particularly strong in certain indicators, specific forms of coaching, etc. Teachers should have the opportunity to practice newly acquired skills and receive </w:t>
            </w:r>
            <w:r w:rsidRPr="005B1E81">
              <w:rPr>
                <w:rFonts w:asciiTheme="majorHAnsi" w:hAnsiTheme="majorHAnsi"/>
              </w:rPr>
              <w:lastRenderedPageBreak/>
              <w:t xml:space="preserve">interim feedback, ideally from observers.  </w:t>
            </w:r>
          </w:p>
        </w:tc>
        <w:tc>
          <w:tcPr>
            <w:tcW w:w="3132" w:type="dxa"/>
          </w:tcPr>
          <w:p w:rsidR="00676D7E" w:rsidRPr="005B1E81" w:rsidRDefault="00676D7E" w:rsidP="00676D7E">
            <w:pPr>
              <w:rPr>
                <w:rFonts w:asciiTheme="majorHAnsi" w:hAnsiTheme="majorHAnsi"/>
              </w:rPr>
            </w:pPr>
          </w:p>
        </w:tc>
      </w:tr>
      <w:tr w:rsidR="00306FE5" w:rsidRPr="005B1E81">
        <w:tc>
          <w:tcPr>
            <w:tcW w:w="1622" w:type="dxa"/>
          </w:tcPr>
          <w:p w:rsidR="00676D7E" w:rsidRPr="005B1E81" w:rsidRDefault="00306FE5">
            <w:pPr>
              <w:rPr>
                <w:rFonts w:asciiTheme="majorHAnsi" w:hAnsiTheme="majorHAnsi"/>
              </w:rPr>
            </w:pPr>
            <w:r w:rsidRPr="005B1E81">
              <w:rPr>
                <w:rFonts w:asciiTheme="majorHAnsi" w:hAnsiTheme="majorHAnsi"/>
              </w:rPr>
              <w:lastRenderedPageBreak/>
              <w:t>Scheduling</w:t>
            </w:r>
          </w:p>
        </w:tc>
        <w:tc>
          <w:tcPr>
            <w:tcW w:w="3131" w:type="dxa"/>
          </w:tcPr>
          <w:p w:rsidR="00306FE5"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How are observations and feedback conversations scheduled with teachers?</w:t>
            </w:r>
          </w:p>
          <w:p w:rsidR="00676D7E"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How much lead</w:t>
            </w:r>
            <w:r w:rsidR="002E589F" w:rsidRPr="005B1E81">
              <w:rPr>
                <w:rFonts w:asciiTheme="majorHAnsi" w:hAnsiTheme="majorHAnsi"/>
              </w:rPr>
              <w:t>-</w:t>
            </w:r>
            <w:r w:rsidRPr="005B1E81">
              <w:rPr>
                <w:rFonts w:asciiTheme="majorHAnsi" w:hAnsiTheme="majorHAnsi"/>
              </w:rPr>
              <w:t xml:space="preserve">time is </w:t>
            </w:r>
            <w:r w:rsidR="002E589F" w:rsidRPr="005B1E81">
              <w:rPr>
                <w:rFonts w:asciiTheme="majorHAnsi" w:hAnsiTheme="majorHAnsi"/>
              </w:rPr>
              <w:t>provided</w:t>
            </w:r>
            <w:r w:rsidRPr="005B1E81">
              <w:rPr>
                <w:rFonts w:asciiTheme="majorHAnsi" w:hAnsiTheme="majorHAnsi"/>
              </w:rPr>
              <w:t>?</w:t>
            </w:r>
          </w:p>
        </w:tc>
        <w:tc>
          <w:tcPr>
            <w:tcW w:w="3131" w:type="dxa"/>
          </w:tcPr>
          <w:p w:rsidR="00676D7E" w:rsidRPr="005B1E81" w:rsidRDefault="006B080E" w:rsidP="008A4901">
            <w:pPr>
              <w:ind w:left="-9"/>
              <w:rPr>
                <w:rFonts w:asciiTheme="majorHAnsi" w:hAnsiTheme="majorHAnsi"/>
              </w:rPr>
            </w:pPr>
            <w:r w:rsidRPr="005B1E81">
              <w:rPr>
                <w:rFonts w:asciiTheme="majorHAnsi" w:hAnsiTheme="majorHAnsi"/>
              </w:rPr>
              <w:t xml:space="preserve">OSSE recommends that LEAs develop and set the formal observation schedule at the start of the school year so that teachers know, in advance, when they will be observed and when they will engage in feedback conversations. OSSE also recommends that LEAs work to build a culture in which classroom visits and informal observations are common practice and viewed as opportunities for growth. </w:t>
            </w:r>
          </w:p>
        </w:tc>
        <w:tc>
          <w:tcPr>
            <w:tcW w:w="3132" w:type="dxa"/>
          </w:tcPr>
          <w:p w:rsidR="00676D7E" w:rsidRPr="005B1E81" w:rsidRDefault="00676D7E">
            <w:pPr>
              <w:rPr>
                <w:rFonts w:asciiTheme="majorHAnsi" w:hAnsiTheme="majorHAnsi"/>
              </w:rPr>
            </w:pPr>
          </w:p>
        </w:tc>
      </w:tr>
      <w:tr w:rsidR="00306FE5" w:rsidRPr="005B1E81">
        <w:tblPrEx>
          <w:tblLook w:val="04A0" w:firstRow="1" w:lastRow="0" w:firstColumn="1" w:lastColumn="0" w:noHBand="0" w:noVBand="1"/>
        </w:tblPrEx>
        <w:tc>
          <w:tcPr>
            <w:tcW w:w="1622" w:type="dxa"/>
          </w:tcPr>
          <w:p w:rsidR="00676D7E" w:rsidRPr="005B1E81" w:rsidRDefault="00306FE5">
            <w:pPr>
              <w:rPr>
                <w:rFonts w:asciiTheme="majorHAnsi" w:hAnsiTheme="majorHAnsi"/>
              </w:rPr>
            </w:pPr>
            <w:r w:rsidRPr="005B1E81">
              <w:rPr>
                <w:rFonts w:asciiTheme="majorHAnsi" w:hAnsiTheme="majorHAnsi"/>
              </w:rPr>
              <w:t>Number</w:t>
            </w:r>
          </w:p>
        </w:tc>
        <w:tc>
          <w:tcPr>
            <w:tcW w:w="3131" w:type="dxa"/>
          </w:tcPr>
          <w:p w:rsidR="00306FE5"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How many observations will you conduct per year, per teacher?</w:t>
            </w:r>
          </w:p>
          <w:p w:rsidR="00676D7E"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What will be your breakdown of formal vs. informal observations?</w:t>
            </w:r>
          </w:p>
        </w:tc>
        <w:tc>
          <w:tcPr>
            <w:tcW w:w="3131" w:type="dxa"/>
          </w:tcPr>
          <w:p w:rsidR="00676D7E" w:rsidRPr="005B1E81" w:rsidRDefault="006B080E" w:rsidP="006B080E">
            <w:pPr>
              <w:pStyle w:val="BULLETS"/>
              <w:ind w:left="0" w:firstLine="0"/>
              <w:rPr>
                <w:rFonts w:asciiTheme="majorHAnsi" w:hAnsiTheme="majorHAnsi"/>
              </w:rPr>
            </w:pPr>
            <w:r w:rsidRPr="005B1E81">
              <w:rPr>
                <w:rFonts w:asciiTheme="majorHAnsi" w:hAnsiTheme="majorHAnsi"/>
              </w:rPr>
              <w:t>OSSE recommends a minimum of 4 observations per year, per teacher – 2 formal and 2 informal observations. This number should be modified to support teachers’ individual growth plans.</w:t>
            </w:r>
          </w:p>
        </w:tc>
        <w:tc>
          <w:tcPr>
            <w:tcW w:w="3132" w:type="dxa"/>
          </w:tcPr>
          <w:p w:rsidR="00676D7E" w:rsidRPr="005B1E81" w:rsidRDefault="00676D7E">
            <w:pPr>
              <w:rPr>
                <w:rFonts w:asciiTheme="majorHAnsi" w:hAnsiTheme="majorHAnsi"/>
              </w:rPr>
            </w:pPr>
          </w:p>
        </w:tc>
      </w:tr>
      <w:tr w:rsidR="00306FE5" w:rsidRPr="005B1E81">
        <w:tblPrEx>
          <w:tblLook w:val="04A0" w:firstRow="1" w:lastRow="0" w:firstColumn="1" w:lastColumn="0" w:noHBand="0" w:noVBand="1"/>
        </w:tblPrEx>
        <w:tc>
          <w:tcPr>
            <w:tcW w:w="1622" w:type="dxa"/>
          </w:tcPr>
          <w:p w:rsidR="00676D7E" w:rsidRPr="005B1E81" w:rsidRDefault="00306FE5">
            <w:pPr>
              <w:rPr>
                <w:rFonts w:asciiTheme="majorHAnsi" w:hAnsiTheme="majorHAnsi"/>
              </w:rPr>
            </w:pPr>
            <w:r w:rsidRPr="005B1E81">
              <w:rPr>
                <w:rFonts w:asciiTheme="majorHAnsi" w:hAnsiTheme="majorHAnsi"/>
              </w:rPr>
              <w:t>Rating System</w:t>
            </w:r>
          </w:p>
        </w:tc>
        <w:tc>
          <w:tcPr>
            <w:tcW w:w="3131" w:type="dxa"/>
          </w:tcPr>
          <w:p w:rsidR="00306FE5"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 xml:space="preserve">How will you rate individual observations? </w:t>
            </w:r>
          </w:p>
          <w:p w:rsidR="00306FE5"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How will individual observations inform the overall teacher effectiveness rating?</w:t>
            </w:r>
          </w:p>
          <w:p w:rsidR="00676D7E"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What happens if you do not observe an indicator during an observation?</w:t>
            </w:r>
          </w:p>
        </w:tc>
        <w:tc>
          <w:tcPr>
            <w:tcW w:w="3131" w:type="dxa"/>
          </w:tcPr>
          <w:p w:rsidR="00676D7E" w:rsidRPr="005B1E81" w:rsidRDefault="00676D7E" w:rsidP="00676D7E">
            <w:pPr>
              <w:suppressAutoHyphens w:val="0"/>
              <w:autoSpaceDE w:val="0"/>
              <w:autoSpaceDN w:val="0"/>
              <w:adjustRightInd w:val="0"/>
              <w:spacing w:before="0"/>
              <w:rPr>
                <w:rFonts w:asciiTheme="majorHAnsi" w:eastAsiaTheme="minorHAnsi" w:hAnsiTheme="majorHAnsi" w:cs="Georgia"/>
                <w:color w:val="000000"/>
                <w:szCs w:val="22"/>
              </w:rPr>
            </w:pPr>
          </w:p>
        </w:tc>
        <w:tc>
          <w:tcPr>
            <w:tcW w:w="3132" w:type="dxa"/>
          </w:tcPr>
          <w:p w:rsidR="00676D7E" w:rsidRPr="005B1E81" w:rsidRDefault="00676D7E">
            <w:pPr>
              <w:rPr>
                <w:rFonts w:asciiTheme="majorHAnsi" w:hAnsiTheme="majorHAnsi"/>
                <w:i/>
              </w:rPr>
            </w:pPr>
          </w:p>
        </w:tc>
      </w:tr>
      <w:tr w:rsidR="00306FE5" w:rsidRPr="005B1E81">
        <w:tblPrEx>
          <w:tblLook w:val="04A0" w:firstRow="1" w:lastRow="0" w:firstColumn="1" w:lastColumn="0" w:noHBand="0" w:noVBand="1"/>
        </w:tblPrEx>
        <w:tc>
          <w:tcPr>
            <w:tcW w:w="1622" w:type="dxa"/>
          </w:tcPr>
          <w:p w:rsidR="00676D7E" w:rsidRPr="005B1E81" w:rsidRDefault="00306FE5">
            <w:pPr>
              <w:rPr>
                <w:rFonts w:asciiTheme="majorHAnsi" w:hAnsiTheme="majorHAnsi"/>
              </w:rPr>
            </w:pPr>
            <w:r w:rsidRPr="005B1E81">
              <w:rPr>
                <w:rFonts w:asciiTheme="majorHAnsi" w:hAnsiTheme="majorHAnsi"/>
              </w:rPr>
              <w:lastRenderedPageBreak/>
              <w:t>Rating Professionalism</w:t>
            </w:r>
          </w:p>
        </w:tc>
        <w:tc>
          <w:tcPr>
            <w:tcW w:w="3131" w:type="dxa"/>
          </w:tcPr>
          <w:p w:rsidR="00306FE5"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 xml:space="preserve">How will you collect evidence on rubric strands that are not observable during classroom instruction? </w:t>
            </w:r>
          </w:p>
          <w:p w:rsidR="00676D7E"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 xml:space="preserve">When will you incorporate time to discuss the strands of the rubric that are not observable? </w:t>
            </w:r>
            <w:r w:rsidR="00676D7E" w:rsidRPr="005B1E81">
              <w:rPr>
                <w:rFonts w:asciiTheme="majorHAnsi" w:hAnsiTheme="majorHAnsi"/>
              </w:rPr>
              <w:t xml:space="preserve"> </w:t>
            </w:r>
          </w:p>
        </w:tc>
        <w:tc>
          <w:tcPr>
            <w:tcW w:w="3131" w:type="dxa"/>
          </w:tcPr>
          <w:p w:rsidR="00676D7E" w:rsidRPr="005B1E81" w:rsidRDefault="006B080E" w:rsidP="003B655B">
            <w:pPr>
              <w:rPr>
                <w:rFonts w:asciiTheme="majorHAnsi" w:hAnsiTheme="majorHAnsi"/>
              </w:rPr>
            </w:pPr>
            <w:r w:rsidRPr="005B1E81">
              <w:rPr>
                <w:rFonts w:asciiTheme="majorHAnsi" w:hAnsiTheme="majorHAnsi"/>
              </w:rPr>
              <w:t xml:space="preserve">OSSE recommends that </w:t>
            </w:r>
            <w:r w:rsidR="00646C88" w:rsidRPr="005B1E81">
              <w:rPr>
                <w:rFonts w:asciiTheme="majorHAnsi" w:hAnsiTheme="majorHAnsi"/>
              </w:rPr>
              <w:t>LEAs develop a system for collecting evidence – the development of professional portfolios is one approach</w:t>
            </w:r>
            <w:r w:rsidR="008A4901" w:rsidRPr="005B1E81">
              <w:rPr>
                <w:rFonts w:asciiTheme="majorHAnsi" w:hAnsiTheme="majorHAnsi"/>
              </w:rPr>
              <w:t>.</w:t>
            </w:r>
          </w:p>
        </w:tc>
        <w:tc>
          <w:tcPr>
            <w:tcW w:w="3132" w:type="dxa"/>
          </w:tcPr>
          <w:p w:rsidR="00676D7E" w:rsidRPr="005B1E81" w:rsidRDefault="00676D7E" w:rsidP="00676D7E">
            <w:pPr>
              <w:rPr>
                <w:rFonts w:asciiTheme="majorHAnsi" w:hAnsiTheme="majorHAnsi"/>
                <w:i/>
              </w:rPr>
            </w:pPr>
          </w:p>
        </w:tc>
      </w:tr>
      <w:tr w:rsidR="00306FE5" w:rsidRPr="005B1E81">
        <w:tblPrEx>
          <w:tblLook w:val="04A0" w:firstRow="1" w:lastRow="0" w:firstColumn="1" w:lastColumn="0" w:noHBand="0" w:noVBand="1"/>
        </w:tblPrEx>
        <w:tc>
          <w:tcPr>
            <w:tcW w:w="1622" w:type="dxa"/>
          </w:tcPr>
          <w:p w:rsidR="00676D7E" w:rsidRPr="005B1E81" w:rsidRDefault="00306FE5">
            <w:pPr>
              <w:rPr>
                <w:rFonts w:asciiTheme="majorHAnsi" w:hAnsiTheme="majorHAnsi"/>
              </w:rPr>
            </w:pPr>
            <w:r w:rsidRPr="005B1E81">
              <w:rPr>
                <w:rFonts w:asciiTheme="majorHAnsi" w:hAnsiTheme="majorHAnsi"/>
              </w:rPr>
              <w:t>Instructional Coaches</w:t>
            </w:r>
          </w:p>
        </w:tc>
        <w:tc>
          <w:tcPr>
            <w:tcW w:w="3131" w:type="dxa"/>
          </w:tcPr>
          <w:p w:rsidR="00306FE5"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Does your school have instructional coaches?</w:t>
            </w:r>
          </w:p>
          <w:p w:rsidR="002E589F" w:rsidRPr="005B1E81" w:rsidRDefault="002E589F" w:rsidP="00EF2249">
            <w:pPr>
              <w:pStyle w:val="ListParagraph"/>
              <w:numPr>
                <w:ilvl w:val="0"/>
                <w:numId w:val="2"/>
              </w:numPr>
              <w:ind w:left="171" w:hanging="180"/>
              <w:rPr>
                <w:rFonts w:asciiTheme="majorHAnsi" w:hAnsiTheme="majorHAnsi"/>
              </w:rPr>
            </w:pPr>
            <w:r w:rsidRPr="005B1E81">
              <w:rPr>
                <w:rFonts w:asciiTheme="majorHAnsi" w:hAnsiTheme="majorHAnsi"/>
              </w:rPr>
              <w:t>What is the coaching structure? Who receives coaching?</w:t>
            </w:r>
          </w:p>
          <w:p w:rsidR="00676D7E" w:rsidRPr="005B1E81" w:rsidRDefault="00306FE5" w:rsidP="00EF2249">
            <w:pPr>
              <w:pStyle w:val="ListParagraph"/>
              <w:numPr>
                <w:ilvl w:val="0"/>
                <w:numId w:val="2"/>
              </w:numPr>
              <w:ind w:left="171" w:hanging="180"/>
              <w:rPr>
                <w:rFonts w:asciiTheme="majorHAnsi" w:hAnsiTheme="majorHAnsi"/>
              </w:rPr>
            </w:pPr>
            <w:r w:rsidRPr="005B1E81">
              <w:rPr>
                <w:rFonts w:asciiTheme="majorHAnsi" w:hAnsiTheme="majorHAnsi"/>
              </w:rPr>
              <w:t>Do instructional coaches support planning and / or who does support teachers’ instructional planning?</w:t>
            </w:r>
          </w:p>
        </w:tc>
        <w:tc>
          <w:tcPr>
            <w:tcW w:w="3131" w:type="dxa"/>
          </w:tcPr>
          <w:p w:rsidR="00676D7E" w:rsidRPr="005B1E81" w:rsidRDefault="00646C88" w:rsidP="00646C88">
            <w:pPr>
              <w:pStyle w:val="BULLETS"/>
              <w:ind w:left="0" w:firstLine="0"/>
              <w:rPr>
                <w:rFonts w:asciiTheme="majorHAnsi" w:hAnsiTheme="majorHAnsi"/>
              </w:rPr>
            </w:pPr>
            <w:r w:rsidRPr="005B1E81">
              <w:rPr>
                <w:rFonts w:asciiTheme="majorHAnsi" w:hAnsiTheme="majorHAnsi"/>
              </w:rPr>
              <w:t xml:space="preserve">Staffing across LEAs differs, but OSSE recommends that LEAs consider </w:t>
            </w:r>
            <w:r w:rsidR="002825DC" w:rsidRPr="005B1E81">
              <w:rPr>
                <w:rFonts w:asciiTheme="majorHAnsi" w:hAnsiTheme="majorHAnsi"/>
              </w:rPr>
              <w:t xml:space="preserve">incorporating a structure in which everyone – teachers, coaches, leadership staff – receives coaching and feedback. </w:t>
            </w:r>
          </w:p>
        </w:tc>
        <w:tc>
          <w:tcPr>
            <w:tcW w:w="3132" w:type="dxa"/>
          </w:tcPr>
          <w:p w:rsidR="00676D7E" w:rsidRPr="005B1E81" w:rsidRDefault="00676D7E">
            <w:pPr>
              <w:rPr>
                <w:rFonts w:asciiTheme="majorHAnsi" w:hAnsiTheme="majorHAnsi"/>
              </w:rPr>
            </w:pPr>
          </w:p>
        </w:tc>
      </w:tr>
      <w:tr w:rsidR="00306FE5" w:rsidRPr="005B1E81">
        <w:tblPrEx>
          <w:tblLook w:val="04A0" w:firstRow="1" w:lastRow="0" w:firstColumn="1" w:lastColumn="0" w:noHBand="0" w:noVBand="1"/>
        </w:tblPrEx>
        <w:tc>
          <w:tcPr>
            <w:tcW w:w="1622" w:type="dxa"/>
          </w:tcPr>
          <w:p w:rsidR="00676D7E" w:rsidRPr="005B1E81" w:rsidRDefault="00B63841">
            <w:pPr>
              <w:rPr>
                <w:rFonts w:asciiTheme="majorHAnsi" w:hAnsiTheme="majorHAnsi"/>
              </w:rPr>
            </w:pPr>
            <w:r w:rsidRPr="005B1E81">
              <w:rPr>
                <w:rFonts w:asciiTheme="majorHAnsi" w:hAnsiTheme="majorHAnsi"/>
              </w:rPr>
              <w:t>Data Review</w:t>
            </w:r>
          </w:p>
        </w:tc>
        <w:tc>
          <w:tcPr>
            <w:tcW w:w="3131" w:type="dxa"/>
          </w:tcPr>
          <w:p w:rsidR="00676D7E" w:rsidRPr="005B1E81" w:rsidRDefault="00B63841" w:rsidP="00EF2249">
            <w:pPr>
              <w:pStyle w:val="ListParagraph"/>
              <w:numPr>
                <w:ilvl w:val="0"/>
                <w:numId w:val="2"/>
              </w:numPr>
              <w:ind w:left="171" w:hanging="180"/>
              <w:rPr>
                <w:rFonts w:asciiTheme="majorHAnsi" w:hAnsiTheme="majorHAnsi"/>
              </w:rPr>
            </w:pPr>
            <w:r w:rsidRPr="005B1E81">
              <w:rPr>
                <w:rFonts w:asciiTheme="majorHAnsi" w:hAnsiTheme="majorHAnsi"/>
              </w:rPr>
              <w:t>What do you require teachers to bring to post observation / feedback conferences? Lesson plans? Student achievement data?</w:t>
            </w:r>
          </w:p>
        </w:tc>
        <w:tc>
          <w:tcPr>
            <w:tcW w:w="3131" w:type="dxa"/>
          </w:tcPr>
          <w:p w:rsidR="00676D7E" w:rsidRPr="005B1E81" w:rsidRDefault="00646C88">
            <w:pPr>
              <w:rPr>
                <w:rFonts w:asciiTheme="majorHAnsi" w:hAnsiTheme="majorHAnsi"/>
              </w:rPr>
            </w:pPr>
            <w:r w:rsidRPr="005B1E81">
              <w:rPr>
                <w:rFonts w:asciiTheme="majorHAnsi" w:hAnsiTheme="majorHAnsi"/>
              </w:rPr>
              <w:t xml:space="preserve">OSSE recommends that teachers present planning materials prior to the observation whenever possible, and that they bring student achievement data to the post-observation conversation. </w:t>
            </w:r>
          </w:p>
        </w:tc>
        <w:tc>
          <w:tcPr>
            <w:tcW w:w="3132" w:type="dxa"/>
          </w:tcPr>
          <w:p w:rsidR="00676D7E" w:rsidRPr="005B1E81" w:rsidRDefault="00676D7E">
            <w:pPr>
              <w:rPr>
                <w:rFonts w:asciiTheme="majorHAnsi" w:hAnsiTheme="majorHAnsi"/>
              </w:rPr>
            </w:pPr>
          </w:p>
        </w:tc>
      </w:tr>
      <w:tr w:rsidR="00306FE5" w:rsidRPr="005B1E81">
        <w:tblPrEx>
          <w:tblLook w:val="04A0" w:firstRow="1" w:lastRow="0" w:firstColumn="1" w:lastColumn="0" w:noHBand="0" w:noVBand="1"/>
        </w:tblPrEx>
        <w:tc>
          <w:tcPr>
            <w:tcW w:w="1622" w:type="dxa"/>
          </w:tcPr>
          <w:p w:rsidR="00676D7E" w:rsidRPr="005B1E81" w:rsidRDefault="00B63841">
            <w:pPr>
              <w:rPr>
                <w:rFonts w:asciiTheme="majorHAnsi" w:hAnsiTheme="majorHAnsi"/>
              </w:rPr>
            </w:pPr>
            <w:r w:rsidRPr="005B1E81">
              <w:rPr>
                <w:rFonts w:asciiTheme="majorHAnsi" w:hAnsiTheme="majorHAnsi"/>
              </w:rPr>
              <w:t>Capturing Evidence</w:t>
            </w:r>
          </w:p>
        </w:tc>
        <w:tc>
          <w:tcPr>
            <w:tcW w:w="3131" w:type="dxa"/>
          </w:tcPr>
          <w:p w:rsidR="00B63841" w:rsidRPr="005B1E81" w:rsidRDefault="00B63841" w:rsidP="00EF2249">
            <w:pPr>
              <w:pStyle w:val="ListParagraph"/>
              <w:numPr>
                <w:ilvl w:val="0"/>
                <w:numId w:val="2"/>
              </w:numPr>
              <w:ind w:left="171" w:hanging="180"/>
              <w:rPr>
                <w:rFonts w:asciiTheme="majorHAnsi" w:hAnsiTheme="majorHAnsi"/>
              </w:rPr>
            </w:pPr>
            <w:r w:rsidRPr="005B1E81">
              <w:rPr>
                <w:rFonts w:asciiTheme="majorHAnsi" w:hAnsiTheme="majorHAnsi"/>
              </w:rPr>
              <w:t>How do evaluators capture evidence during the observation to inform the feedback conversation?</w:t>
            </w:r>
          </w:p>
          <w:p w:rsidR="00B63841" w:rsidRPr="005B1E81" w:rsidRDefault="00B63841" w:rsidP="00EF2249">
            <w:pPr>
              <w:pStyle w:val="ListParagraph"/>
              <w:numPr>
                <w:ilvl w:val="0"/>
                <w:numId w:val="2"/>
              </w:numPr>
              <w:ind w:left="171" w:hanging="180"/>
              <w:rPr>
                <w:rFonts w:asciiTheme="majorHAnsi" w:hAnsiTheme="majorHAnsi"/>
              </w:rPr>
            </w:pPr>
            <w:r w:rsidRPr="005B1E81">
              <w:rPr>
                <w:rFonts w:asciiTheme="majorHAnsi" w:hAnsiTheme="majorHAnsi"/>
              </w:rPr>
              <w:t>What is the note-taking format / what are the expectations?</w:t>
            </w:r>
          </w:p>
          <w:p w:rsidR="00676D7E" w:rsidRPr="005B1E81" w:rsidRDefault="00B63841" w:rsidP="00EF2249">
            <w:pPr>
              <w:pStyle w:val="ListParagraph"/>
              <w:numPr>
                <w:ilvl w:val="0"/>
                <w:numId w:val="2"/>
              </w:numPr>
              <w:ind w:left="171" w:hanging="180"/>
              <w:rPr>
                <w:rFonts w:asciiTheme="majorHAnsi" w:hAnsiTheme="majorHAnsi"/>
              </w:rPr>
            </w:pPr>
            <w:r w:rsidRPr="005B1E81">
              <w:rPr>
                <w:rFonts w:asciiTheme="majorHAnsi" w:hAnsiTheme="majorHAnsi"/>
              </w:rPr>
              <w:lastRenderedPageBreak/>
              <w:t>How is the evidence captured during an observation then shared with teachers?</w:t>
            </w:r>
          </w:p>
        </w:tc>
        <w:tc>
          <w:tcPr>
            <w:tcW w:w="3131" w:type="dxa"/>
          </w:tcPr>
          <w:p w:rsidR="00676D7E" w:rsidRPr="005B1E81" w:rsidRDefault="00646C88" w:rsidP="00646C88">
            <w:pPr>
              <w:rPr>
                <w:rFonts w:asciiTheme="majorHAnsi" w:hAnsiTheme="majorHAnsi"/>
              </w:rPr>
            </w:pPr>
            <w:r w:rsidRPr="005B1E81">
              <w:rPr>
                <w:rFonts w:asciiTheme="majorHAnsi" w:hAnsiTheme="majorHAnsi"/>
              </w:rPr>
              <w:lastRenderedPageBreak/>
              <w:t xml:space="preserve">OSSE recommends that evaluators capture non-biased, objective notes that capture descriptive evidence of a teacher’s performance for use in feedback conversations. </w:t>
            </w:r>
          </w:p>
        </w:tc>
        <w:tc>
          <w:tcPr>
            <w:tcW w:w="3132" w:type="dxa"/>
          </w:tcPr>
          <w:p w:rsidR="00676D7E" w:rsidRPr="005B1E81" w:rsidRDefault="00676D7E">
            <w:pPr>
              <w:rPr>
                <w:rFonts w:asciiTheme="majorHAnsi" w:hAnsiTheme="majorHAnsi"/>
              </w:rPr>
            </w:pPr>
          </w:p>
        </w:tc>
      </w:tr>
      <w:tr w:rsidR="00306FE5" w:rsidRPr="005B1E81">
        <w:tblPrEx>
          <w:tblLook w:val="04A0" w:firstRow="1" w:lastRow="0" w:firstColumn="1" w:lastColumn="0" w:noHBand="0" w:noVBand="1"/>
        </w:tblPrEx>
        <w:tc>
          <w:tcPr>
            <w:tcW w:w="1622" w:type="dxa"/>
          </w:tcPr>
          <w:p w:rsidR="00676D7E" w:rsidRPr="005B1E81" w:rsidRDefault="00B63841">
            <w:pPr>
              <w:rPr>
                <w:rFonts w:asciiTheme="majorHAnsi" w:hAnsiTheme="majorHAnsi"/>
              </w:rPr>
            </w:pPr>
            <w:r w:rsidRPr="005B1E81">
              <w:rPr>
                <w:rFonts w:asciiTheme="majorHAnsi" w:hAnsiTheme="majorHAnsi"/>
              </w:rPr>
              <w:lastRenderedPageBreak/>
              <w:t>Sharing</w:t>
            </w:r>
          </w:p>
        </w:tc>
        <w:tc>
          <w:tcPr>
            <w:tcW w:w="3131" w:type="dxa"/>
          </w:tcPr>
          <w:p w:rsidR="00B63841" w:rsidRPr="005B1E81" w:rsidRDefault="00B63841" w:rsidP="00EF2249">
            <w:pPr>
              <w:pStyle w:val="ListParagraph"/>
              <w:numPr>
                <w:ilvl w:val="0"/>
                <w:numId w:val="2"/>
              </w:numPr>
              <w:ind w:left="171" w:hanging="180"/>
              <w:rPr>
                <w:rFonts w:asciiTheme="majorHAnsi" w:hAnsiTheme="majorHAnsi"/>
              </w:rPr>
            </w:pPr>
            <w:r w:rsidRPr="005B1E81">
              <w:rPr>
                <w:rFonts w:asciiTheme="majorHAnsi" w:hAnsiTheme="majorHAnsi"/>
              </w:rPr>
              <w:t>Where is evidence collected during observation stored?</w:t>
            </w:r>
          </w:p>
          <w:p w:rsidR="00676D7E" w:rsidRPr="005B1E81" w:rsidRDefault="00B63841" w:rsidP="00EF2249">
            <w:pPr>
              <w:pStyle w:val="ListParagraph"/>
              <w:numPr>
                <w:ilvl w:val="0"/>
                <w:numId w:val="2"/>
              </w:numPr>
              <w:ind w:left="171" w:hanging="180"/>
              <w:rPr>
                <w:rFonts w:asciiTheme="majorHAnsi" w:hAnsiTheme="majorHAnsi"/>
              </w:rPr>
            </w:pPr>
            <w:r w:rsidRPr="005B1E81">
              <w:rPr>
                <w:rFonts w:asciiTheme="majorHAnsi" w:hAnsiTheme="majorHAnsi"/>
              </w:rPr>
              <w:t>When is observation information shared with teachers?</w:t>
            </w:r>
          </w:p>
        </w:tc>
        <w:tc>
          <w:tcPr>
            <w:tcW w:w="3131" w:type="dxa"/>
          </w:tcPr>
          <w:p w:rsidR="00676D7E" w:rsidRPr="005B1E81" w:rsidRDefault="00646C88" w:rsidP="003B655B">
            <w:pPr>
              <w:rPr>
                <w:rFonts w:asciiTheme="majorHAnsi" w:hAnsiTheme="majorHAnsi"/>
              </w:rPr>
            </w:pPr>
            <w:r w:rsidRPr="005B1E81">
              <w:rPr>
                <w:rFonts w:asciiTheme="majorHAnsi" w:hAnsiTheme="majorHAnsi"/>
              </w:rPr>
              <w:t xml:space="preserve">OSSE recommends that teachers have access to all information associated with observations of their performance – including areas for improvement, agreed-upon action steps, connection to professional development ideas, etc. </w:t>
            </w:r>
            <w:r w:rsidR="008A4901" w:rsidRPr="005B1E81">
              <w:rPr>
                <w:rFonts w:asciiTheme="majorHAnsi" w:hAnsiTheme="majorHAnsi"/>
              </w:rPr>
              <w:t xml:space="preserve"> This information should be maintained centrally (i.e. online, hard copy) to allow teachers and supervisors to be able to access observation data from previous observations from that year.</w:t>
            </w:r>
          </w:p>
        </w:tc>
        <w:tc>
          <w:tcPr>
            <w:tcW w:w="3132" w:type="dxa"/>
          </w:tcPr>
          <w:p w:rsidR="00676D7E" w:rsidRPr="005B1E81" w:rsidRDefault="00676D7E" w:rsidP="00676D7E">
            <w:pPr>
              <w:rPr>
                <w:rFonts w:asciiTheme="majorHAnsi" w:hAnsiTheme="majorHAnsi"/>
              </w:rPr>
            </w:pPr>
          </w:p>
        </w:tc>
      </w:tr>
    </w:tbl>
    <w:p w:rsidR="00676D7E" w:rsidRPr="005B1E81" w:rsidRDefault="00676D7E">
      <w:pPr>
        <w:rPr>
          <w:rFonts w:asciiTheme="majorHAnsi" w:hAnsiTheme="majorHAnsi"/>
        </w:rPr>
      </w:pPr>
    </w:p>
    <w:sectPr w:rsidR="00676D7E" w:rsidRPr="005B1E81" w:rsidSect="00676D7E">
      <w:footerReference w:type="default" r:id="rId7"/>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87" w:rsidRDefault="00016F87" w:rsidP="005B1E81">
      <w:pPr>
        <w:spacing w:before="0" w:line="240" w:lineRule="auto"/>
      </w:pPr>
      <w:r>
        <w:separator/>
      </w:r>
    </w:p>
  </w:endnote>
  <w:endnote w:type="continuationSeparator" w:id="0">
    <w:p w:rsidR="00016F87" w:rsidRDefault="00016F87" w:rsidP="005B1E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Bold">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81" w:rsidRDefault="005B1E81">
    <w:pPr>
      <w:pStyle w:val="Footer"/>
    </w:pPr>
    <w:r>
      <w:rPr>
        <w:noProof/>
      </w:rPr>
      <w:drawing>
        <wp:anchor distT="0" distB="0" distL="114300" distR="114300" simplePos="0" relativeHeight="251659264" behindDoc="1" locked="0" layoutInCell="1" allowOverlap="1" wp14:anchorId="63EBC9E8" wp14:editId="67ADB972">
          <wp:simplePos x="0" y="0"/>
          <wp:positionH relativeFrom="margin">
            <wp:align>center</wp:align>
          </wp:positionH>
          <wp:positionV relativeFrom="paragraph">
            <wp:posOffset>80010</wp:posOffset>
          </wp:positionV>
          <wp:extent cx="578485" cy="584200"/>
          <wp:effectExtent l="0" t="0" r="0" b="6350"/>
          <wp:wrapTight wrapText="bothSides">
            <wp:wrapPolygon edited="0">
              <wp:start x="1423" y="0"/>
              <wp:lineTo x="711" y="2113"/>
              <wp:lineTo x="0" y="15496"/>
              <wp:lineTo x="1423" y="21130"/>
              <wp:lineTo x="2845" y="21130"/>
              <wp:lineTo x="19205" y="21130"/>
              <wp:lineTo x="20628" y="19722"/>
              <wp:lineTo x="20628" y="0"/>
              <wp:lineTo x="1423" y="0"/>
            </wp:wrapPolygon>
          </wp:wrapTight>
          <wp:docPr id="2" name="Picture 2" descr="Office of the State Superintend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State Superintendent of Education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64" r="16054"/>
                  <a:stretch/>
                </pic:blipFill>
                <pic:spPr bwMode="auto">
                  <a:xfrm>
                    <a:off x="0" y="0"/>
                    <a:ext cx="57848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1E81" w:rsidRDefault="005B1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87" w:rsidRDefault="00016F87" w:rsidP="005B1E81">
      <w:pPr>
        <w:spacing w:before="0" w:line="240" w:lineRule="auto"/>
      </w:pPr>
      <w:r>
        <w:separator/>
      </w:r>
    </w:p>
  </w:footnote>
  <w:footnote w:type="continuationSeparator" w:id="0">
    <w:p w:rsidR="00016F87" w:rsidRDefault="00016F87" w:rsidP="005B1E8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3107D"/>
    <w:multiLevelType w:val="hybridMultilevel"/>
    <w:tmpl w:val="9AF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92B81"/>
    <w:multiLevelType w:val="multilevel"/>
    <w:tmpl w:val="3962DC3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7E"/>
    <w:rsid w:val="00016F87"/>
    <w:rsid w:val="002825DC"/>
    <w:rsid w:val="002E589F"/>
    <w:rsid w:val="00306FE5"/>
    <w:rsid w:val="003B655B"/>
    <w:rsid w:val="00500D8A"/>
    <w:rsid w:val="005B1E81"/>
    <w:rsid w:val="005F268F"/>
    <w:rsid w:val="00646C88"/>
    <w:rsid w:val="00676D7E"/>
    <w:rsid w:val="006B080E"/>
    <w:rsid w:val="008A4901"/>
    <w:rsid w:val="00B17998"/>
    <w:rsid w:val="00B63841"/>
    <w:rsid w:val="00E03ADB"/>
    <w:rsid w:val="00EF22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C91EF-9D42-4B46-B881-AB0D1D37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676D7E"/>
    <w:pPr>
      <w:suppressAutoHyphens/>
      <w:spacing w:before="120" w:line="360" w:lineRule="auto"/>
    </w:pPr>
    <w:rPr>
      <w:rFonts w:eastAsiaTheme="minorEastAsia"/>
      <w:color w:val="000000" w:themeColor="text1"/>
      <w:sz w:val="22"/>
    </w:rPr>
  </w:style>
  <w:style w:type="paragraph" w:styleId="Heading1">
    <w:name w:val="heading 1"/>
    <w:basedOn w:val="Normal"/>
    <w:next w:val="Normal"/>
    <w:link w:val="Heading1Char"/>
    <w:uiPriority w:val="9"/>
    <w:qFormat/>
    <w:rsid w:val="00676D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sections"/>
    <w:basedOn w:val="Heading1"/>
    <w:next w:val="Normal"/>
    <w:link w:val="Heading2Char"/>
    <w:uiPriority w:val="9"/>
    <w:unhideWhenUsed/>
    <w:qFormat/>
    <w:rsid w:val="00676D7E"/>
    <w:pPr>
      <w:pBdr>
        <w:top w:val="dashSmallGap" w:sz="4" w:space="6" w:color="00ADEF"/>
        <w:bottom w:val="dashSmallGap" w:sz="4" w:space="12" w:color="00ADEF"/>
        <w:between w:val="dashSmallGap" w:sz="4" w:space="6" w:color="00ADEF"/>
      </w:pBdr>
      <w:spacing w:before="0" w:line="480" w:lineRule="exact"/>
      <w:outlineLvl w:val="1"/>
    </w:pPr>
    <w:rPr>
      <w:rFonts w:ascii="Meta-Bold" w:hAnsi="Meta-Bold"/>
      <w:b w:val="0"/>
      <w:bCs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s Char"/>
    <w:basedOn w:val="DefaultParagraphFont"/>
    <w:link w:val="Heading2"/>
    <w:uiPriority w:val="9"/>
    <w:rsid w:val="00676D7E"/>
    <w:rPr>
      <w:rFonts w:ascii="Meta-Bold" w:eastAsiaTheme="majorEastAsia" w:hAnsi="Meta-Bold" w:cstheme="majorBidi"/>
      <w:color w:val="000000" w:themeColor="text1"/>
      <w:sz w:val="26"/>
      <w:szCs w:val="26"/>
    </w:rPr>
  </w:style>
  <w:style w:type="table" w:styleId="TableGrid">
    <w:name w:val="Table Grid"/>
    <w:basedOn w:val="TableNormal"/>
    <w:uiPriority w:val="59"/>
    <w:rsid w:val="00676D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S">
    <w:name w:val="BULLETS"/>
    <w:basedOn w:val="ListBullet"/>
    <w:next w:val="Normal"/>
    <w:qFormat/>
    <w:rsid w:val="00676D7E"/>
    <w:pPr>
      <w:numPr>
        <w:numId w:val="0"/>
      </w:numPr>
      <w:tabs>
        <w:tab w:val="num" w:pos="504"/>
      </w:tabs>
      <w:spacing w:after="120"/>
      <w:ind w:left="504" w:hanging="288"/>
      <w:contextualSpacing w:val="0"/>
    </w:pPr>
    <w:rPr>
      <w:szCs w:val="22"/>
    </w:rPr>
  </w:style>
  <w:style w:type="character" w:customStyle="1" w:styleId="Heading1Char">
    <w:name w:val="Heading 1 Char"/>
    <w:basedOn w:val="DefaultParagraphFont"/>
    <w:link w:val="Heading1"/>
    <w:uiPriority w:val="9"/>
    <w:rsid w:val="00676D7E"/>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99"/>
    <w:semiHidden/>
    <w:unhideWhenUsed/>
    <w:rsid w:val="00676D7E"/>
    <w:pPr>
      <w:numPr>
        <w:numId w:val="1"/>
      </w:numPr>
      <w:ind w:left="360" w:hanging="360"/>
      <w:contextualSpacing/>
    </w:pPr>
  </w:style>
  <w:style w:type="character" w:styleId="Hyperlink">
    <w:name w:val="Hyperlink"/>
    <w:basedOn w:val="DefaultParagraphFont"/>
    <w:uiPriority w:val="99"/>
    <w:semiHidden/>
    <w:unhideWhenUsed/>
    <w:rsid w:val="00306FE5"/>
    <w:rPr>
      <w:color w:val="0000FF" w:themeColor="hyperlink"/>
      <w:u w:val="single"/>
    </w:rPr>
  </w:style>
  <w:style w:type="paragraph" w:styleId="ListParagraph">
    <w:name w:val="List Paragraph"/>
    <w:basedOn w:val="Normal"/>
    <w:uiPriority w:val="34"/>
    <w:qFormat/>
    <w:rsid w:val="005F268F"/>
    <w:pPr>
      <w:ind w:left="720"/>
      <w:contextualSpacing/>
    </w:pPr>
  </w:style>
  <w:style w:type="paragraph" w:styleId="Header">
    <w:name w:val="header"/>
    <w:basedOn w:val="Normal"/>
    <w:link w:val="HeaderChar"/>
    <w:uiPriority w:val="99"/>
    <w:unhideWhenUsed/>
    <w:rsid w:val="005B1E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B1E81"/>
    <w:rPr>
      <w:rFonts w:eastAsiaTheme="minorEastAsia"/>
      <w:color w:val="000000" w:themeColor="text1"/>
      <w:sz w:val="22"/>
    </w:rPr>
  </w:style>
  <w:style w:type="paragraph" w:styleId="Footer">
    <w:name w:val="footer"/>
    <w:basedOn w:val="Normal"/>
    <w:link w:val="FooterChar"/>
    <w:uiPriority w:val="99"/>
    <w:unhideWhenUsed/>
    <w:rsid w:val="005B1E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1E81"/>
    <w:rPr>
      <w:rFonts w:eastAsiaTheme="minorEastAsi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Shapiro</dc:creator>
  <cp:keywords/>
  <cp:lastModifiedBy>User</cp:lastModifiedBy>
  <cp:revision>2</cp:revision>
  <dcterms:created xsi:type="dcterms:W3CDTF">2015-07-16T14:58:00Z</dcterms:created>
  <dcterms:modified xsi:type="dcterms:W3CDTF">2015-07-16T14:58:00Z</dcterms:modified>
</cp:coreProperties>
</file>